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pP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78E168E2">
      <w:pPr>
        <w:widowControl/>
        <w:jc w:val="left"/>
        <w:rPr>
          <w:rFonts w:hint="eastAsia"/>
        </w:rPr>
      </w:pPr>
    </w:p>
    <w:p w14:paraId="085BDF6C">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585001</w:t>
      </w:r>
    </w:p>
    <w:p w14:paraId="66A14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：临漳县人民检察院(本级)</w:t>
      </w:r>
    </w:p>
    <w:p w14:paraId="347A22E4">
      <w:pPr>
        <w:spacing w:line="600" w:lineRule="auto"/>
        <w:jc w:val="left"/>
        <w:rPr>
          <w:rFonts w:hint="default" w:ascii="楷体_GB2312" w:hAnsi="楷体_GB2312" w:eastAsia="楷体_GB2312" w:cs="楷体_GB2312"/>
          <w:color w:val="000000"/>
          <w:sz w:val="40"/>
          <w:szCs w:val="40"/>
          <w:lang w:val="en-US" w:eastAsia="zh-CN"/>
        </w:rPr>
      </w:pPr>
    </w:p>
    <w:p w14:paraId="31A165CC">
      <w:pPr>
        <w:spacing w:line="600" w:lineRule="auto"/>
        <w:jc w:val="center"/>
        <w:rPr>
          <w:rFonts w:hint="eastAsia" w:ascii="楷体_GB2312" w:hAnsi="楷体_GB2312" w:eastAsia="楷体_GB2312" w:cs="楷体_GB2312"/>
          <w:color w:val="000000"/>
          <w:sz w:val="40"/>
          <w:szCs w:val="40"/>
        </w:rPr>
      </w:pP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4C5EDC64">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77343E48">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1C75CB85">
      <w:pPr>
        <w:spacing w:line="600" w:lineRule="auto"/>
        <w:jc w:val="center"/>
        <w:rPr>
          <w:rFonts w:hint="eastAsia" w:ascii="楷体_GB2312" w:hAnsi="楷体_GB2312" w:eastAsia="楷体_GB2312" w:cs="楷体_GB2312"/>
          <w:color w:val="000000"/>
          <w:sz w:val="40"/>
          <w:szCs w:val="40"/>
        </w:r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7B181348">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D10DE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6F12FAD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786E5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4BEF9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ECB75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83352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BA0F7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9FC9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5B496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478C9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AB2C7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78C0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3E1C7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62C58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910A00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7FC5F00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6834FD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Arial" w:hAnsi="Arial" w:eastAsia="Arial" w:cs="Arial"/>
          <w:i w:val="0"/>
          <w:iCs w:val="0"/>
          <w:caps w:val="0"/>
          <w:color w:val="auto"/>
          <w:spacing w:val="0"/>
          <w:sz w:val="32"/>
          <w:szCs w:val="32"/>
          <w:highlight w:val="none"/>
        </w:rPr>
      </w:pPr>
      <w:r>
        <w:rPr>
          <w:rFonts w:hint="default" w:ascii="仿宋_GB2312" w:hAnsi="仿宋_GB2312" w:eastAsia="仿宋_GB2312" w:cs="仿宋_GB2312"/>
          <w:i w:val="0"/>
          <w:iCs w:val="0"/>
          <w:caps w:val="0"/>
          <w:color w:val="auto"/>
          <w:spacing w:val="0"/>
          <w:sz w:val="32"/>
          <w:szCs w:val="32"/>
          <w:highlight w:val="none"/>
          <w:shd w:val="clear" w:fill="FFFFFF"/>
        </w:rPr>
        <w:t>临漳县人民检察院是国家法律监督部门，依法对民事诉讼和行政诉讼实行法律监督，对刑法执行和监管活动实行监督，办理全县检察机关未成年人犯罪案件的审查逮捕、审查起诉、保障办案安全。负责全县检察机关司法警察的授衔和管理工作，组织和指导全县控申部门受理信访来访，受理初核对国家工作人员职务犯罪的举报，受理、审查和复查当事人不服的刑事申诉案件。</w:t>
      </w:r>
    </w:p>
    <w:p w14:paraId="14CEF81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629B0BB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CAF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C3A04E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CCB2914">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4338A8E">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710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025FDC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0B09E206">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临漳县人民检察院</w:t>
            </w:r>
            <w:r>
              <w:rPr>
                <w:rFonts w:hint="eastAsia" w:ascii="仿宋_GB2312" w:hAnsi="Calibri" w:eastAsia="仿宋_GB2312" w:cs="ArialUnicodeMS"/>
                <w:kern w:val="0"/>
                <w:sz w:val="28"/>
                <w:szCs w:val="28"/>
              </w:rPr>
              <w:t>(本级)</w:t>
            </w:r>
          </w:p>
        </w:tc>
        <w:tc>
          <w:tcPr>
            <w:tcW w:w="2445" w:type="dxa"/>
          </w:tcPr>
          <w:p w14:paraId="76278BB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行政单位</w:t>
            </w:r>
          </w:p>
        </w:tc>
        <w:tc>
          <w:tcPr>
            <w:tcW w:w="2665" w:type="dxa"/>
          </w:tcPr>
          <w:p w14:paraId="0D57B2B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财政拨款</w:t>
            </w:r>
          </w:p>
        </w:tc>
      </w:tr>
      <w:tr w14:paraId="34AE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638D36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14:paraId="1A6D2AE5">
            <w:pPr>
              <w:spacing w:line="560" w:lineRule="exact"/>
              <w:rPr>
                <w:rFonts w:ascii="仿宋_GB2312" w:hAnsi="Calibri" w:eastAsia="仿宋_GB2312" w:cs="ArialUnicodeMS"/>
                <w:kern w:val="0"/>
                <w:sz w:val="28"/>
                <w:szCs w:val="28"/>
              </w:rPr>
            </w:pPr>
          </w:p>
        </w:tc>
        <w:tc>
          <w:tcPr>
            <w:tcW w:w="2445" w:type="dxa"/>
          </w:tcPr>
          <w:p w14:paraId="2E443189">
            <w:pPr>
              <w:spacing w:line="560" w:lineRule="exact"/>
              <w:jc w:val="center"/>
              <w:rPr>
                <w:rFonts w:ascii="仿宋_GB2312" w:hAnsi="Calibri" w:eastAsia="仿宋_GB2312" w:cs="ArialUnicodeMS"/>
                <w:kern w:val="0"/>
                <w:sz w:val="28"/>
                <w:szCs w:val="28"/>
              </w:rPr>
            </w:pPr>
          </w:p>
        </w:tc>
        <w:tc>
          <w:tcPr>
            <w:tcW w:w="2665" w:type="dxa"/>
          </w:tcPr>
          <w:p w14:paraId="55B3F532">
            <w:pPr>
              <w:spacing w:line="560" w:lineRule="exact"/>
              <w:jc w:val="center"/>
              <w:rPr>
                <w:rFonts w:ascii="仿宋_GB2312" w:hAnsi="Calibri" w:eastAsia="仿宋_GB2312" w:cs="ArialUnicodeMS"/>
                <w:kern w:val="0"/>
                <w:sz w:val="28"/>
                <w:szCs w:val="28"/>
              </w:rPr>
            </w:pPr>
          </w:p>
        </w:tc>
      </w:tr>
      <w:tr w14:paraId="2502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968C53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3</w:t>
            </w:r>
          </w:p>
        </w:tc>
        <w:tc>
          <w:tcPr>
            <w:tcW w:w="3485" w:type="dxa"/>
          </w:tcPr>
          <w:p w14:paraId="5E4754A6">
            <w:pPr>
              <w:spacing w:line="560" w:lineRule="exact"/>
              <w:rPr>
                <w:rFonts w:ascii="仿宋_GB2312" w:hAnsi="Calibri" w:eastAsia="仿宋_GB2312" w:cs="ArialUnicodeMS"/>
                <w:kern w:val="0"/>
                <w:sz w:val="28"/>
                <w:szCs w:val="28"/>
              </w:rPr>
            </w:pPr>
          </w:p>
        </w:tc>
        <w:tc>
          <w:tcPr>
            <w:tcW w:w="2445" w:type="dxa"/>
          </w:tcPr>
          <w:p w14:paraId="7B7B69AB">
            <w:pPr>
              <w:spacing w:line="560" w:lineRule="exact"/>
              <w:jc w:val="center"/>
              <w:rPr>
                <w:rFonts w:ascii="仿宋_GB2312" w:hAnsi="Calibri" w:eastAsia="仿宋_GB2312" w:cs="ArialUnicodeMS"/>
                <w:kern w:val="0"/>
                <w:sz w:val="28"/>
                <w:szCs w:val="28"/>
              </w:rPr>
            </w:pPr>
          </w:p>
        </w:tc>
        <w:tc>
          <w:tcPr>
            <w:tcW w:w="2665" w:type="dxa"/>
          </w:tcPr>
          <w:p w14:paraId="64A2EDF3">
            <w:pPr>
              <w:spacing w:line="560" w:lineRule="exact"/>
              <w:jc w:val="center"/>
              <w:rPr>
                <w:rFonts w:ascii="仿宋_GB2312" w:hAnsi="Calibri" w:eastAsia="仿宋_GB2312" w:cs="ArialUnicodeMS"/>
                <w:kern w:val="0"/>
                <w:sz w:val="28"/>
                <w:szCs w:val="28"/>
              </w:rPr>
            </w:pPr>
          </w:p>
        </w:tc>
      </w:tr>
      <w:tr w14:paraId="3856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26227BF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w:t>
            </w:r>
          </w:p>
        </w:tc>
        <w:tc>
          <w:tcPr>
            <w:tcW w:w="3485" w:type="dxa"/>
            <w:tcBorders>
              <w:bottom w:val="single" w:color="auto" w:sz="4" w:space="0"/>
            </w:tcBorders>
          </w:tcPr>
          <w:p w14:paraId="0931401F">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w:t>
            </w:r>
          </w:p>
        </w:tc>
        <w:tc>
          <w:tcPr>
            <w:tcW w:w="2445" w:type="dxa"/>
            <w:tcBorders>
              <w:bottom w:val="single" w:color="auto" w:sz="4" w:space="0"/>
            </w:tcBorders>
          </w:tcPr>
          <w:p w14:paraId="556A8673">
            <w:pPr>
              <w:spacing w:line="560" w:lineRule="exact"/>
              <w:jc w:val="center"/>
              <w:rPr>
                <w:rFonts w:ascii="仿宋_GB2312" w:hAnsi="Calibri" w:eastAsia="仿宋_GB2312" w:cs="ArialUnicodeMS"/>
                <w:kern w:val="0"/>
                <w:sz w:val="28"/>
                <w:szCs w:val="28"/>
              </w:rPr>
            </w:pPr>
          </w:p>
        </w:tc>
        <w:tc>
          <w:tcPr>
            <w:tcW w:w="2665" w:type="dxa"/>
            <w:tcBorders>
              <w:bottom w:val="single" w:color="auto" w:sz="4" w:space="0"/>
            </w:tcBorders>
          </w:tcPr>
          <w:p w14:paraId="0AC306F3">
            <w:pPr>
              <w:spacing w:line="560" w:lineRule="exact"/>
              <w:jc w:val="center"/>
              <w:rPr>
                <w:rFonts w:ascii="仿宋_GB2312" w:hAnsi="Calibri" w:eastAsia="仿宋_GB2312" w:cs="ArialUnicodeMS"/>
                <w:kern w:val="0"/>
                <w:sz w:val="28"/>
                <w:szCs w:val="28"/>
              </w:rPr>
            </w:pPr>
          </w:p>
        </w:tc>
      </w:tr>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5E1C7103">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C15B9DF">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6B2A643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5D3579E">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highlight w:val="none"/>
        </w:rPr>
        <w:t>我部门无二级预算单位，因此，</w:t>
      </w:r>
      <w:r>
        <w:rPr>
          <w:rFonts w:hint="eastAsia" w:ascii="Times New Roman" w:hAnsi="Times New Roman" w:eastAsia="黑体" w:cs="Times New Roman"/>
          <w:sz w:val="32"/>
          <w:szCs w:val="32"/>
          <w:highlight w:val="none"/>
          <w:lang w:val="en-US" w:eastAsia="zh-CN"/>
        </w:rPr>
        <w:t>临漳县人民检察院</w:t>
      </w:r>
      <w:r>
        <w:rPr>
          <w:rFonts w:hint="eastAsia" w:ascii="Times New Roman" w:hAnsi="Times New Roman" w:eastAsia="黑体" w:cs="Times New Roman"/>
          <w:sz w:val="32"/>
          <w:szCs w:val="32"/>
          <w:highlight w:val="none"/>
        </w:rPr>
        <w:t>202</w:t>
      </w:r>
      <w:r>
        <w:rPr>
          <w:rFonts w:hint="eastAsia" w:ascii="Times New Roman" w:hAnsi="Times New Roman" w:eastAsia="黑体" w:cs="Times New Roman"/>
          <w:sz w:val="32"/>
          <w:szCs w:val="32"/>
          <w:highlight w:val="none"/>
          <w:lang w:val="en-US" w:eastAsia="zh-CN"/>
        </w:rPr>
        <w:t>3</w:t>
      </w:r>
      <w:r>
        <w:rPr>
          <w:rFonts w:hint="eastAsia" w:ascii="Times New Roman" w:hAnsi="Times New Roman" w:eastAsia="黑体" w:cs="Times New Roman"/>
          <w:sz w:val="32"/>
          <w:szCs w:val="32"/>
          <w:highlight w:val="none"/>
        </w:rPr>
        <w:t>年度部门决算即</w:t>
      </w:r>
      <w:r>
        <w:rPr>
          <w:rFonts w:hint="eastAsia" w:ascii="Times New Roman" w:hAnsi="Times New Roman" w:eastAsia="黑体" w:cs="Times New Roman"/>
          <w:sz w:val="32"/>
          <w:szCs w:val="32"/>
          <w:highlight w:val="none"/>
          <w:lang w:val="en-US" w:eastAsia="zh-CN"/>
        </w:rPr>
        <w:t>临漳县人民检察院</w:t>
      </w:r>
      <w:r>
        <w:rPr>
          <w:rFonts w:hint="eastAsia" w:ascii="Times New Roman" w:hAnsi="Times New Roman" w:eastAsia="黑体" w:cs="Times New Roman"/>
          <w:sz w:val="32"/>
          <w:szCs w:val="32"/>
          <w:highlight w:val="none"/>
        </w:rPr>
        <w:t>本级202</w:t>
      </w:r>
      <w:r>
        <w:rPr>
          <w:rFonts w:hint="eastAsia" w:ascii="Times New Roman" w:hAnsi="Times New Roman" w:eastAsia="黑体" w:cs="Times New Roman"/>
          <w:sz w:val="32"/>
          <w:szCs w:val="32"/>
          <w:highlight w:val="none"/>
          <w:lang w:val="en-US" w:eastAsia="zh-CN"/>
        </w:rPr>
        <w:t>3</w:t>
      </w:r>
      <w:r>
        <w:rPr>
          <w:rFonts w:hint="eastAsia" w:ascii="Times New Roman" w:hAnsi="Times New Roman" w:eastAsia="黑体" w:cs="Times New Roman"/>
          <w:sz w:val="32"/>
          <w:szCs w:val="32"/>
          <w:highlight w:val="none"/>
        </w:rPr>
        <w:t>年度决算。</w:t>
      </w:r>
    </w:p>
    <w:p w14:paraId="1926405F">
      <w:pPr>
        <w:widowControl/>
        <w:spacing w:after="160" w:line="580" w:lineRule="exact"/>
        <w:ind w:firstLine="640" w:firstLineChars="200"/>
        <w:rPr>
          <w:rFonts w:hint="eastAsia" w:ascii="Times New Roman" w:hAnsi="Times New Roman" w:eastAsia="黑体" w:cs="Times New Roman"/>
          <w:sz w:val="32"/>
          <w:szCs w:val="32"/>
          <w:highlight w:val="yellow"/>
        </w:rPr>
      </w:pPr>
    </w:p>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777FFAB">
      <w:pPr>
        <w:widowControl/>
        <w:spacing w:after="160" w:line="580" w:lineRule="exact"/>
        <w:ind w:firstLine="640" w:firstLineChars="200"/>
        <w:rPr>
          <w:rFonts w:hint="eastAsia" w:ascii="Times New Roman" w:hAnsi="Times New Roman" w:eastAsia="黑体" w:cs="Times New Roman"/>
          <w:sz w:val="32"/>
          <w:szCs w:val="32"/>
          <w:highlight w:val="yellow"/>
        </w:rPr>
      </w:pPr>
    </w:p>
    <w:p w14:paraId="413A641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87AEC4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1C90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CD4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F03F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3704E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52903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5584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ED0FF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4F0B3B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编制部门（单位）：临漳县人民检察院(本级)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1,169.15</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1,173.17</w:t>
            </w: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1,173.15</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1,173.17</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2.52</w:t>
            </w: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1,175.69</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1,175.69</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3AF7CB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编制部门（单位）：临漳县人民检察院(本级)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1,173.15</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1,169.15</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4.00</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1,173.15</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1,169.15</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14:paraId="0C67A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AFC5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w:t>
            </w:r>
          </w:p>
        </w:tc>
        <w:tc>
          <w:tcPr>
            <w:tcW w:w="1160" w:type="dxa"/>
            <w:tcBorders>
              <w:top w:val="nil"/>
              <w:left w:val="nil"/>
              <w:bottom w:val="single" w:color="000000" w:sz="4" w:space="0"/>
              <w:right w:val="single" w:color="000000" w:sz="4" w:space="0"/>
            </w:tcBorders>
            <w:noWrap/>
            <w:vAlign w:val="center"/>
          </w:tcPr>
          <w:p w14:paraId="11D35D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w:t>
            </w:r>
          </w:p>
        </w:tc>
        <w:tc>
          <w:tcPr>
            <w:tcW w:w="1037" w:type="dxa"/>
            <w:tcBorders>
              <w:top w:val="nil"/>
              <w:left w:val="nil"/>
              <w:bottom w:val="single" w:color="000000" w:sz="4" w:space="0"/>
              <w:right w:val="single" w:color="000000" w:sz="4" w:space="0"/>
            </w:tcBorders>
            <w:noWrap/>
            <w:vAlign w:val="center"/>
          </w:tcPr>
          <w:p w14:paraId="002F96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1,173.15</w:t>
            </w:r>
          </w:p>
        </w:tc>
        <w:tc>
          <w:tcPr>
            <w:tcW w:w="1037" w:type="dxa"/>
            <w:tcBorders>
              <w:top w:val="nil"/>
              <w:left w:val="nil"/>
              <w:bottom w:val="single" w:color="000000" w:sz="4" w:space="0"/>
              <w:right w:val="single" w:color="000000" w:sz="4" w:space="0"/>
            </w:tcBorders>
            <w:noWrap/>
            <w:vAlign w:val="center"/>
          </w:tcPr>
          <w:p w14:paraId="24C2DC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1,169.15</w:t>
            </w:r>
          </w:p>
        </w:tc>
        <w:tc>
          <w:tcPr>
            <w:tcW w:w="1037" w:type="dxa"/>
            <w:tcBorders>
              <w:top w:val="nil"/>
              <w:left w:val="nil"/>
              <w:bottom w:val="single" w:color="000000" w:sz="4" w:space="0"/>
              <w:right w:val="single" w:color="000000" w:sz="4" w:space="0"/>
            </w:tcBorders>
            <w:noWrap/>
            <w:vAlign w:val="center"/>
          </w:tcPr>
          <w:p w14:paraId="24C137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0708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4C936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B930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DCA9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14:paraId="6A0C4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7B13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2040402</w:t>
            </w:r>
          </w:p>
        </w:tc>
        <w:tc>
          <w:tcPr>
            <w:tcW w:w="1160" w:type="dxa"/>
            <w:tcBorders>
              <w:top w:val="nil"/>
              <w:left w:val="nil"/>
              <w:bottom w:val="single" w:color="000000" w:sz="4" w:space="0"/>
              <w:right w:val="single" w:color="000000" w:sz="4" w:space="0"/>
            </w:tcBorders>
            <w:noWrap/>
            <w:vAlign w:val="center"/>
          </w:tcPr>
          <w:p w14:paraId="583AA6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095FFD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996.66</w:t>
            </w:r>
          </w:p>
        </w:tc>
        <w:tc>
          <w:tcPr>
            <w:tcW w:w="1037" w:type="dxa"/>
            <w:tcBorders>
              <w:top w:val="nil"/>
              <w:left w:val="nil"/>
              <w:bottom w:val="single" w:color="000000" w:sz="4" w:space="0"/>
              <w:right w:val="single" w:color="000000" w:sz="4" w:space="0"/>
            </w:tcBorders>
            <w:noWrap/>
            <w:vAlign w:val="center"/>
          </w:tcPr>
          <w:p w14:paraId="5BBCDD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996.66</w:t>
            </w:r>
          </w:p>
        </w:tc>
        <w:tc>
          <w:tcPr>
            <w:tcW w:w="1037" w:type="dxa"/>
            <w:tcBorders>
              <w:top w:val="nil"/>
              <w:left w:val="nil"/>
              <w:bottom w:val="single" w:color="000000" w:sz="4" w:space="0"/>
              <w:right w:val="single" w:color="000000" w:sz="4" w:space="0"/>
            </w:tcBorders>
            <w:noWrap/>
            <w:vAlign w:val="center"/>
          </w:tcPr>
          <w:p w14:paraId="18B14F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A44C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F95E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E559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8B5F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F281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CE38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2040410</w:t>
            </w:r>
          </w:p>
        </w:tc>
        <w:tc>
          <w:tcPr>
            <w:tcW w:w="1160" w:type="dxa"/>
            <w:tcBorders>
              <w:top w:val="nil"/>
              <w:left w:val="nil"/>
              <w:bottom w:val="single" w:color="000000" w:sz="4" w:space="0"/>
              <w:right w:val="single" w:color="000000" w:sz="4" w:space="0"/>
            </w:tcBorders>
            <w:noWrap/>
            <w:vAlign w:val="center"/>
          </w:tcPr>
          <w:p w14:paraId="640F54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检察监督</w:t>
            </w:r>
          </w:p>
        </w:tc>
        <w:tc>
          <w:tcPr>
            <w:tcW w:w="1037" w:type="dxa"/>
            <w:tcBorders>
              <w:top w:val="nil"/>
              <w:left w:val="nil"/>
              <w:bottom w:val="single" w:color="000000" w:sz="4" w:space="0"/>
              <w:right w:val="single" w:color="000000" w:sz="4" w:space="0"/>
            </w:tcBorders>
            <w:noWrap/>
            <w:vAlign w:val="center"/>
          </w:tcPr>
          <w:p w14:paraId="26E240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14:paraId="46042A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30.00</w:t>
            </w:r>
          </w:p>
        </w:tc>
        <w:tc>
          <w:tcPr>
            <w:tcW w:w="1037" w:type="dxa"/>
            <w:tcBorders>
              <w:top w:val="nil"/>
              <w:left w:val="nil"/>
              <w:bottom w:val="single" w:color="000000" w:sz="4" w:space="0"/>
              <w:right w:val="single" w:color="000000" w:sz="4" w:space="0"/>
            </w:tcBorders>
            <w:noWrap/>
            <w:vAlign w:val="center"/>
          </w:tcPr>
          <w:p w14:paraId="3147E0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5D1D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0CAA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8C2C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9C90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137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132C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2040499</w:t>
            </w:r>
          </w:p>
        </w:tc>
        <w:tc>
          <w:tcPr>
            <w:tcW w:w="1160" w:type="dxa"/>
            <w:tcBorders>
              <w:top w:val="nil"/>
              <w:left w:val="nil"/>
              <w:bottom w:val="single" w:color="000000" w:sz="4" w:space="0"/>
              <w:right w:val="single" w:color="000000" w:sz="4" w:space="0"/>
            </w:tcBorders>
            <w:noWrap/>
            <w:vAlign w:val="center"/>
          </w:tcPr>
          <w:p w14:paraId="60E191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其他检察支出</w:t>
            </w:r>
          </w:p>
        </w:tc>
        <w:tc>
          <w:tcPr>
            <w:tcW w:w="1037" w:type="dxa"/>
            <w:tcBorders>
              <w:top w:val="nil"/>
              <w:left w:val="nil"/>
              <w:bottom w:val="single" w:color="000000" w:sz="4" w:space="0"/>
              <w:right w:val="single" w:color="000000" w:sz="4" w:space="0"/>
            </w:tcBorders>
            <w:noWrap/>
            <w:vAlign w:val="center"/>
          </w:tcPr>
          <w:p w14:paraId="210415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146.49</w:t>
            </w:r>
          </w:p>
        </w:tc>
        <w:tc>
          <w:tcPr>
            <w:tcW w:w="1037" w:type="dxa"/>
            <w:tcBorders>
              <w:top w:val="nil"/>
              <w:left w:val="nil"/>
              <w:bottom w:val="single" w:color="000000" w:sz="4" w:space="0"/>
              <w:right w:val="single" w:color="000000" w:sz="4" w:space="0"/>
            </w:tcBorders>
            <w:noWrap/>
            <w:vAlign w:val="center"/>
          </w:tcPr>
          <w:p w14:paraId="0D7698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142.49</w:t>
            </w:r>
          </w:p>
        </w:tc>
        <w:tc>
          <w:tcPr>
            <w:tcW w:w="1037" w:type="dxa"/>
            <w:tcBorders>
              <w:top w:val="nil"/>
              <w:left w:val="nil"/>
              <w:bottom w:val="single" w:color="000000" w:sz="4" w:space="0"/>
              <w:right w:val="single" w:color="000000" w:sz="4" w:space="0"/>
            </w:tcBorders>
            <w:noWrap/>
            <w:vAlign w:val="center"/>
          </w:tcPr>
          <w:p w14:paraId="49F7FD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59F1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79FF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3C75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58A6A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8D20FC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编制部门（单位）：临漳县人民检察院(本级)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1,173.17</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0.01</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1,173.16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1,173.17</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1,173.16</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6794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16AA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635" w:type="pct"/>
            <w:tcBorders>
              <w:top w:val="nil"/>
              <w:left w:val="nil"/>
              <w:bottom w:val="single" w:color="000000" w:sz="4" w:space="0"/>
              <w:right w:val="single" w:color="000000" w:sz="4" w:space="0"/>
            </w:tcBorders>
            <w:noWrap/>
            <w:vAlign w:val="center"/>
          </w:tcPr>
          <w:p w14:paraId="6CE17B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603" w:type="pct"/>
            <w:tcBorders>
              <w:top w:val="nil"/>
              <w:left w:val="nil"/>
              <w:bottom w:val="single" w:color="000000" w:sz="4" w:space="0"/>
              <w:right w:val="single" w:color="000000" w:sz="4" w:space="0"/>
            </w:tcBorders>
            <w:noWrap/>
            <w:vAlign w:val="center"/>
          </w:tcPr>
          <w:p w14:paraId="2C729D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1,173.17</w:t>
            </w:r>
          </w:p>
        </w:tc>
        <w:tc>
          <w:tcPr>
            <w:tcW w:w="602" w:type="pct"/>
            <w:gridSpan w:val="2"/>
            <w:tcBorders>
              <w:top w:val="nil"/>
              <w:left w:val="nil"/>
              <w:bottom w:val="single" w:color="000000" w:sz="4" w:space="0"/>
              <w:right w:val="single" w:color="000000" w:sz="4" w:space="0"/>
            </w:tcBorders>
            <w:noWrap/>
            <w:vAlign w:val="center"/>
          </w:tcPr>
          <w:p w14:paraId="3D6B3C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0.01</w:t>
            </w:r>
          </w:p>
        </w:tc>
        <w:tc>
          <w:tcPr>
            <w:tcW w:w="602" w:type="pct"/>
            <w:tcBorders>
              <w:top w:val="nil"/>
              <w:left w:val="nil"/>
              <w:bottom w:val="single" w:color="000000" w:sz="4" w:space="0"/>
              <w:right w:val="single" w:color="000000" w:sz="4" w:space="0"/>
            </w:tcBorders>
            <w:noWrap/>
            <w:vAlign w:val="center"/>
          </w:tcPr>
          <w:p w14:paraId="3AE519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1,173.16</w:t>
            </w:r>
          </w:p>
        </w:tc>
        <w:tc>
          <w:tcPr>
            <w:tcW w:w="602" w:type="pct"/>
            <w:gridSpan w:val="2"/>
            <w:tcBorders>
              <w:top w:val="nil"/>
              <w:left w:val="nil"/>
              <w:bottom w:val="single" w:color="000000" w:sz="4" w:space="0"/>
              <w:right w:val="single" w:color="000000" w:sz="4" w:space="0"/>
            </w:tcBorders>
            <w:noWrap/>
            <w:vAlign w:val="center"/>
          </w:tcPr>
          <w:p w14:paraId="041536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C921F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B8E983">
            <w:pPr>
              <w:jc w:val="right"/>
              <w:rPr>
                <w:rFonts w:hint="default" w:ascii="Times New Roman" w:hAnsi="Times New Roman" w:eastAsia="宋体" w:cs="Times New Roman"/>
                <w:i w:val="0"/>
                <w:iCs w:val="0"/>
                <w:color w:val="000000"/>
                <w:sz w:val="20"/>
                <w:szCs w:val="20"/>
                <w:highlight w:val="none"/>
                <w:u w:val="none"/>
              </w:rPr>
            </w:pPr>
          </w:p>
        </w:tc>
      </w:tr>
      <w:tr w14:paraId="18905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C15E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635" w:type="pct"/>
            <w:tcBorders>
              <w:top w:val="nil"/>
              <w:left w:val="nil"/>
              <w:bottom w:val="single" w:color="000000" w:sz="4" w:space="0"/>
              <w:right w:val="single" w:color="000000" w:sz="4" w:space="0"/>
            </w:tcBorders>
            <w:noWrap/>
            <w:vAlign w:val="center"/>
          </w:tcPr>
          <w:p w14:paraId="79C77B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41E3C2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0.01</w:t>
            </w:r>
          </w:p>
        </w:tc>
        <w:tc>
          <w:tcPr>
            <w:tcW w:w="602" w:type="pct"/>
            <w:gridSpan w:val="2"/>
            <w:tcBorders>
              <w:top w:val="nil"/>
              <w:left w:val="nil"/>
              <w:bottom w:val="single" w:color="000000" w:sz="4" w:space="0"/>
              <w:right w:val="single" w:color="000000" w:sz="4" w:space="0"/>
            </w:tcBorders>
            <w:noWrap/>
            <w:vAlign w:val="center"/>
          </w:tcPr>
          <w:p w14:paraId="7F73CB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0.01</w:t>
            </w:r>
          </w:p>
        </w:tc>
        <w:tc>
          <w:tcPr>
            <w:tcW w:w="602" w:type="pct"/>
            <w:tcBorders>
              <w:top w:val="nil"/>
              <w:left w:val="nil"/>
              <w:bottom w:val="single" w:color="000000" w:sz="4" w:space="0"/>
              <w:right w:val="single" w:color="000000" w:sz="4" w:space="0"/>
            </w:tcBorders>
            <w:noWrap/>
            <w:vAlign w:val="center"/>
          </w:tcPr>
          <w:p w14:paraId="0201DF7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9457A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A12D9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1C1E8F">
            <w:pPr>
              <w:jc w:val="right"/>
              <w:rPr>
                <w:rFonts w:hint="default" w:ascii="Times New Roman" w:hAnsi="Times New Roman" w:eastAsia="宋体" w:cs="Times New Roman"/>
                <w:i w:val="0"/>
                <w:iCs w:val="0"/>
                <w:color w:val="000000"/>
                <w:sz w:val="20"/>
                <w:szCs w:val="20"/>
                <w:highlight w:val="none"/>
                <w:u w:val="none"/>
              </w:rPr>
            </w:pPr>
          </w:p>
        </w:tc>
      </w:tr>
      <w:tr w14:paraId="4B4AA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4DFB3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635" w:type="pct"/>
            <w:tcBorders>
              <w:top w:val="nil"/>
              <w:left w:val="nil"/>
              <w:bottom w:val="single" w:color="000000" w:sz="4" w:space="0"/>
              <w:right w:val="single" w:color="000000" w:sz="4" w:space="0"/>
            </w:tcBorders>
            <w:noWrap/>
            <w:vAlign w:val="center"/>
          </w:tcPr>
          <w:p w14:paraId="6E9840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42B3CC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996.66</w:t>
            </w:r>
          </w:p>
        </w:tc>
        <w:tc>
          <w:tcPr>
            <w:tcW w:w="602" w:type="pct"/>
            <w:gridSpan w:val="2"/>
            <w:tcBorders>
              <w:top w:val="nil"/>
              <w:left w:val="nil"/>
              <w:bottom w:val="single" w:color="000000" w:sz="4" w:space="0"/>
              <w:right w:val="single" w:color="000000" w:sz="4" w:space="0"/>
            </w:tcBorders>
            <w:noWrap/>
            <w:vAlign w:val="center"/>
          </w:tcPr>
          <w:p w14:paraId="759AB76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6F8A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996.66</w:t>
            </w:r>
          </w:p>
        </w:tc>
        <w:tc>
          <w:tcPr>
            <w:tcW w:w="602" w:type="pct"/>
            <w:gridSpan w:val="2"/>
            <w:tcBorders>
              <w:top w:val="nil"/>
              <w:left w:val="nil"/>
              <w:bottom w:val="single" w:color="000000" w:sz="4" w:space="0"/>
              <w:right w:val="single" w:color="000000" w:sz="4" w:space="0"/>
            </w:tcBorders>
            <w:noWrap/>
            <w:vAlign w:val="center"/>
          </w:tcPr>
          <w:p w14:paraId="47B9066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6F4DB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A72EEE">
            <w:pPr>
              <w:jc w:val="right"/>
              <w:rPr>
                <w:rFonts w:hint="default" w:ascii="Times New Roman" w:hAnsi="Times New Roman" w:eastAsia="宋体" w:cs="Times New Roman"/>
                <w:i w:val="0"/>
                <w:iCs w:val="0"/>
                <w:color w:val="000000"/>
                <w:sz w:val="20"/>
                <w:szCs w:val="20"/>
                <w:highlight w:val="none"/>
                <w:u w:val="none"/>
              </w:rPr>
            </w:pPr>
          </w:p>
        </w:tc>
      </w:tr>
      <w:tr w14:paraId="79C7D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FA45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2040410</w:t>
            </w:r>
          </w:p>
        </w:tc>
        <w:tc>
          <w:tcPr>
            <w:tcW w:w="635" w:type="pct"/>
            <w:tcBorders>
              <w:top w:val="nil"/>
              <w:left w:val="nil"/>
              <w:bottom w:val="single" w:color="000000" w:sz="4" w:space="0"/>
              <w:right w:val="single" w:color="000000" w:sz="4" w:space="0"/>
            </w:tcBorders>
            <w:noWrap/>
            <w:vAlign w:val="center"/>
          </w:tcPr>
          <w:p w14:paraId="10A184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检察监督</w:t>
            </w:r>
          </w:p>
        </w:tc>
        <w:tc>
          <w:tcPr>
            <w:tcW w:w="603" w:type="pct"/>
            <w:tcBorders>
              <w:top w:val="nil"/>
              <w:left w:val="nil"/>
              <w:bottom w:val="single" w:color="000000" w:sz="4" w:space="0"/>
              <w:right w:val="single" w:color="000000" w:sz="4" w:space="0"/>
            </w:tcBorders>
            <w:noWrap/>
            <w:vAlign w:val="center"/>
          </w:tcPr>
          <w:p w14:paraId="32DCA3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602" w:type="pct"/>
            <w:gridSpan w:val="2"/>
            <w:tcBorders>
              <w:top w:val="nil"/>
              <w:left w:val="nil"/>
              <w:bottom w:val="single" w:color="000000" w:sz="4" w:space="0"/>
              <w:right w:val="single" w:color="000000" w:sz="4" w:space="0"/>
            </w:tcBorders>
            <w:noWrap/>
            <w:vAlign w:val="center"/>
          </w:tcPr>
          <w:p w14:paraId="09F4ECA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8CB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602" w:type="pct"/>
            <w:gridSpan w:val="2"/>
            <w:tcBorders>
              <w:top w:val="nil"/>
              <w:left w:val="nil"/>
              <w:bottom w:val="single" w:color="000000" w:sz="4" w:space="0"/>
              <w:right w:val="single" w:color="000000" w:sz="4" w:space="0"/>
            </w:tcBorders>
            <w:noWrap/>
            <w:vAlign w:val="center"/>
          </w:tcPr>
          <w:p w14:paraId="7874F48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BA047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9451717">
            <w:pPr>
              <w:jc w:val="right"/>
              <w:rPr>
                <w:rFonts w:hint="default" w:ascii="Times New Roman" w:hAnsi="Times New Roman" w:eastAsia="宋体" w:cs="Times New Roman"/>
                <w:i w:val="0"/>
                <w:iCs w:val="0"/>
                <w:color w:val="000000"/>
                <w:sz w:val="20"/>
                <w:szCs w:val="20"/>
                <w:highlight w:val="none"/>
                <w:u w:val="none"/>
              </w:rPr>
            </w:pPr>
          </w:p>
        </w:tc>
      </w:tr>
      <w:tr w14:paraId="7A7B1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39DA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635" w:type="pct"/>
            <w:tcBorders>
              <w:top w:val="nil"/>
              <w:left w:val="nil"/>
              <w:bottom w:val="single" w:color="000000" w:sz="4" w:space="0"/>
              <w:right w:val="single" w:color="000000" w:sz="4" w:space="0"/>
            </w:tcBorders>
            <w:noWrap/>
            <w:vAlign w:val="center"/>
          </w:tcPr>
          <w:p w14:paraId="58A851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603" w:type="pct"/>
            <w:tcBorders>
              <w:top w:val="nil"/>
              <w:left w:val="nil"/>
              <w:bottom w:val="single" w:color="000000" w:sz="4" w:space="0"/>
              <w:right w:val="single" w:color="000000" w:sz="4" w:space="0"/>
            </w:tcBorders>
            <w:noWrap/>
            <w:vAlign w:val="center"/>
          </w:tcPr>
          <w:p w14:paraId="2A784F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146.49</w:t>
            </w:r>
          </w:p>
        </w:tc>
        <w:tc>
          <w:tcPr>
            <w:tcW w:w="602" w:type="pct"/>
            <w:gridSpan w:val="2"/>
            <w:tcBorders>
              <w:top w:val="nil"/>
              <w:left w:val="nil"/>
              <w:bottom w:val="single" w:color="000000" w:sz="4" w:space="0"/>
              <w:right w:val="single" w:color="000000" w:sz="4" w:space="0"/>
            </w:tcBorders>
            <w:noWrap/>
            <w:vAlign w:val="center"/>
          </w:tcPr>
          <w:p w14:paraId="0B1D83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89FB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146.49</w:t>
            </w:r>
          </w:p>
        </w:tc>
        <w:tc>
          <w:tcPr>
            <w:tcW w:w="602" w:type="pct"/>
            <w:gridSpan w:val="2"/>
            <w:tcBorders>
              <w:top w:val="nil"/>
              <w:left w:val="nil"/>
              <w:bottom w:val="single" w:color="000000" w:sz="4" w:space="0"/>
              <w:right w:val="single" w:color="000000" w:sz="4" w:space="0"/>
            </w:tcBorders>
            <w:noWrap/>
            <w:vAlign w:val="center"/>
          </w:tcPr>
          <w:p w14:paraId="3407B8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58E16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705ADE">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编制部门（单位）：临漳县人民检察院(本级)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1,169.15</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1,169.17</w:t>
            </w: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1,169.17</w:t>
            </w: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1,169.15</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1,169.17</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1,169.17</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2.52</w:t>
            </w: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2.52</w:t>
            </w: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2.53</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1,171.69</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1,171.69</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1,171.69</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E897D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7"/>
        <w:gridCol w:w="1816"/>
        <w:gridCol w:w="912"/>
        <w:gridCol w:w="1075"/>
        <w:gridCol w:w="1131"/>
        <w:gridCol w:w="406"/>
        <w:gridCol w:w="1875"/>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编制部门（单位）：临漳县人民检察院(本级)</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0.01</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1,169.16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1,169.17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0.01</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1,169.16</w:t>
            </w:r>
          </w:p>
        </w:tc>
      </w:tr>
      <w:tr w14:paraId="2474F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6B8D3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748" w:type="pct"/>
            <w:tcBorders>
              <w:top w:val="single" w:color="auto" w:sz="4" w:space="0"/>
              <w:left w:val="single" w:color="auto" w:sz="4" w:space="0"/>
              <w:bottom w:val="single" w:color="auto" w:sz="4" w:space="0"/>
              <w:right w:val="single" w:color="auto" w:sz="4" w:space="0"/>
            </w:tcBorders>
            <w:noWrap/>
            <w:vAlign w:val="center"/>
          </w:tcPr>
          <w:p w14:paraId="207AD1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4EA31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1,169.17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293F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0.01</w:t>
            </w:r>
          </w:p>
        </w:tc>
        <w:tc>
          <w:tcPr>
            <w:tcW w:w="1213" w:type="pct"/>
            <w:tcBorders>
              <w:top w:val="single" w:color="auto" w:sz="4" w:space="0"/>
              <w:left w:val="single" w:color="auto" w:sz="4" w:space="0"/>
              <w:bottom w:val="single" w:color="auto" w:sz="4" w:space="0"/>
              <w:right w:val="single" w:color="auto" w:sz="4" w:space="0"/>
            </w:tcBorders>
            <w:noWrap/>
            <w:vAlign w:val="center"/>
          </w:tcPr>
          <w:p w14:paraId="0A950E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1,169.16</w:t>
            </w:r>
          </w:p>
        </w:tc>
      </w:tr>
      <w:tr w14:paraId="1A9B9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8A212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748" w:type="pct"/>
            <w:tcBorders>
              <w:top w:val="single" w:color="auto" w:sz="4" w:space="0"/>
              <w:left w:val="single" w:color="auto" w:sz="4" w:space="0"/>
              <w:bottom w:val="single" w:color="auto" w:sz="4" w:space="0"/>
              <w:right w:val="single" w:color="auto" w:sz="4" w:space="0"/>
            </w:tcBorders>
            <w:noWrap/>
            <w:vAlign w:val="center"/>
          </w:tcPr>
          <w:p w14:paraId="6FF810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C58E7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B3B9F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0.01</w:t>
            </w:r>
          </w:p>
        </w:tc>
        <w:tc>
          <w:tcPr>
            <w:tcW w:w="1213" w:type="pct"/>
            <w:tcBorders>
              <w:top w:val="single" w:color="auto" w:sz="4" w:space="0"/>
              <w:left w:val="single" w:color="auto" w:sz="4" w:space="0"/>
              <w:bottom w:val="single" w:color="auto" w:sz="4" w:space="0"/>
              <w:right w:val="single" w:color="auto" w:sz="4" w:space="0"/>
            </w:tcBorders>
            <w:noWrap/>
            <w:vAlign w:val="center"/>
          </w:tcPr>
          <w:p w14:paraId="2B04522B">
            <w:pPr>
              <w:jc w:val="right"/>
              <w:rPr>
                <w:rFonts w:hint="default" w:ascii="Times New Roman" w:hAnsi="Times New Roman" w:eastAsia="宋体" w:cs="Times New Roman"/>
                <w:i w:val="0"/>
                <w:iCs w:val="0"/>
                <w:color w:val="000000"/>
                <w:sz w:val="20"/>
                <w:szCs w:val="20"/>
                <w:highlight w:val="none"/>
                <w:u w:val="none"/>
              </w:rPr>
            </w:pPr>
          </w:p>
        </w:tc>
      </w:tr>
      <w:tr w14:paraId="7E234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CD450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748" w:type="pct"/>
            <w:tcBorders>
              <w:top w:val="single" w:color="auto" w:sz="4" w:space="0"/>
              <w:left w:val="single" w:color="auto" w:sz="4" w:space="0"/>
              <w:bottom w:val="single" w:color="auto" w:sz="4" w:space="0"/>
              <w:right w:val="single" w:color="auto" w:sz="4" w:space="0"/>
            </w:tcBorders>
            <w:noWrap/>
            <w:vAlign w:val="center"/>
          </w:tcPr>
          <w:p w14:paraId="504F36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0F79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996.66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8E5D8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328E3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996.66</w:t>
            </w:r>
          </w:p>
        </w:tc>
      </w:tr>
      <w:tr w14:paraId="35F24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AF562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2040410</w:t>
            </w:r>
          </w:p>
        </w:tc>
        <w:tc>
          <w:tcPr>
            <w:tcW w:w="748" w:type="pct"/>
            <w:tcBorders>
              <w:top w:val="single" w:color="auto" w:sz="4" w:space="0"/>
              <w:left w:val="single" w:color="auto" w:sz="4" w:space="0"/>
              <w:bottom w:val="single" w:color="auto" w:sz="4" w:space="0"/>
              <w:right w:val="single" w:color="auto" w:sz="4" w:space="0"/>
            </w:tcBorders>
            <w:noWrap/>
            <w:vAlign w:val="center"/>
          </w:tcPr>
          <w:p w14:paraId="6ACBC0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检察监督</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0538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C74307">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92DCD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30.00</w:t>
            </w:r>
          </w:p>
        </w:tc>
      </w:tr>
      <w:tr w14:paraId="34811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90B90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748" w:type="pct"/>
            <w:tcBorders>
              <w:top w:val="single" w:color="auto" w:sz="4" w:space="0"/>
              <w:left w:val="single" w:color="auto" w:sz="4" w:space="0"/>
              <w:bottom w:val="single" w:color="auto" w:sz="4" w:space="0"/>
              <w:right w:val="single" w:color="auto" w:sz="4" w:space="0"/>
            </w:tcBorders>
            <w:noWrap/>
            <w:vAlign w:val="center"/>
          </w:tcPr>
          <w:p w14:paraId="433DD0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1B90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4CE654C">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22BFB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142.49</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编制部门（单位）：临漳县人民检察院(本级)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0.01</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76E0D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编制部门（单位）：临漳县人民检察院(本级)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注：本部门本年度无相关收支情况，按要求空表列示。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955A6F">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编制部门（单位）：临漳县人民检察院(本级)</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注：本部门本年度无相关收支情况，按要求空表列示。</w:t>
            </w:r>
          </w:p>
        </w:tc>
      </w:tr>
    </w:tbl>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编制部门（单位）：临漳县人民检察院(本级)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13.50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13.48</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13.48</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13.48</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513D45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4F5C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7840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651D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4ED2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24B3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10CF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FFE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728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79E09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27DE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ACF12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3C31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4424C7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839B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8037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3571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E735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024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5B12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AC38C5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1,175.69</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171.97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12.8</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2023年上划到市里</w:t>
      </w:r>
      <w:r>
        <w:rPr>
          <w:rFonts w:hint="default" w:ascii="Times New Roman" w:hAnsi="Times New Roman" w:eastAsia="仿宋_GB2312" w:cs="Times New Roman"/>
          <w:kern w:val="2"/>
          <w:sz w:val="32"/>
          <w:szCs w:val="32"/>
          <w:lang w:eastAsia="zh-CN"/>
        </w:rPr>
        <w:t>。</w:t>
      </w:r>
    </w:p>
    <w:p w14:paraId="3FA692B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r>
        <w:rPr>
          <w:rFonts w:hint="eastAsia" w:ascii="仿宋_GB2312" w:hAnsi="Times New Roman" w:eastAsia="仿宋_GB2312" w:cs="DengXian-Regular"/>
          <w:sz w:val="32"/>
          <w:szCs w:val="32"/>
          <w:highlight w:val="yellow"/>
          <w:lang w:eastAsia="zh-CN"/>
        </w:rPr>
        <w:drawing>
          <wp:anchor distT="0" distB="0" distL="114300" distR="114300" simplePos="0" relativeHeight="251667456" behindDoc="0" locked="0" layoutInCell="1" allowOverlap="1">
            <wp:simplePos x="0" y="0"/>
            <wp:positionH relativeFrom="column">
              <wp:posOffset>643890</wp:posOffset>
            </wp:positionH>
            <wp:positionV relativeFrom="paragraph">
              <wp:posOffset>66040</wp:posOffset>
            </wp:positionV>
            <wp:extent cx="4135755" cy="2299335"/>
            <wp:effectExtent l="4445" t="4445" r="12700" b="2032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DE0B13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631B0A0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74FB8B4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457C85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7DB7BC1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40AE92B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10C43CA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4ED2C49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665B6C4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5A987CE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2DCBA83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i w:val="0"/>
          <w:iCs w:val="0"/>
          <w:caps w:val="0"/>
          <w:color w:val="000000"/>
          <w:spacing w:val="0"/>
          <w:sz w:val="18"/>
          <w:szCs w:val="18"/>
          <w:highlight w:val="none"/>
          <w:shd w:val="clear" w:fill="FFFFFF"/>
        </w:rPr>
      </w:pPr>
    </w:p>
    <w:p w14:paraId="3E4773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12212456">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1,173.15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，其中：财政拨款收入1,169.15万元，占99.66%；其他收入4万元，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0.34%</w:t>
      </w:r>
      <w:r>
        <w:rPr>
          <w:rFonts w:hint="eastAsia" w:ascii="Times New Roman" w:hAnsi="Times New Roman" w:eastAsia="仿宋_GB2312" w:cs="Times New Roman"/>
          <w:kern w:val="2"/>
          <w:sz w:val="32"/>
          <w:szCs w:val="32"/>
          <w:lang w:val="zh-CN"/>
        </w:rPr>
        <w:t>。</w:t>
      </w:r>
    </w:p>
    <w:p w14:paraId="45EF6D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A6238B3">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1,173.17万元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0.01万元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1,173.16万元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占100%</w:t>
      </w:r>
      <w:r>
        <w:rPr>
          <w:rFonts w:hint="eastAsia" w:ascii="Times New Roman" w:hAnsi="Times New Roman" w:eastAsia="仿宋_GB2312" w:cs="Times New Roman"/>
          <w:kern w:val="2"/>
          <w:sz w:val="32"/>
          <w:szCs w:val="32"/>
          <w:lang w:val="zh-CN" w:eastAsia="zh-CN"/>
        </w:rPr>
        <w:t>。</w:t>
      </w:r>
    </w:p>
    <w:p w14:paraId="1C3C7F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195B67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4D7AE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年度财政拨款本年收入1,169.15</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145.51</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11.1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2023年上划到市里</w:t>
      </w:r>
      <w:r>
        <w:rPr>
          <w:rFonts w:hint="default" w:ascii="Times New Roman" w:hAnsi="Times New Roman" w:eastAsia="仿宋_GB2312" w:cs="Times New Roman"/>
          <w:color w:val="auto"/>
          <w:kern w:val="2"/>
          <w:sz w:val="32"/>
          <w:szCs w:val="32"/>
          <w:lang w:val="zh-CN" w:eastAsia="zh-CN" w:bidi="ar-SA"/>
        </w:rPr>
        <w:t>；本年支出 1,169.17万元，比上年减少</w:t>
      </w:r>
      <w:r>
        <w:rPr>
          <w:rFonts w:hint="eastAsia" w:ascii="Times New Roman" w:hAnsi="Times New Roman" w:eastAsia="仿宋_GB2312" w:cs="Times New Roman"/>
          <w:color w:val="auto"/>
          <w:kern w:val="2"/>
          <w:sz w:val="32"/>
          <w:szCs w:val="32"/>
          <w:lang w:val="en-US" w:eastAsia="zh-CN" w:bidi="ar-SA"/>
        </w:rPr>
        <w:t>175.6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13.1</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2023年上划到市里</w:t>
      </w:r>
      <w:r>
        <w:rPr>
          <w:rFonts w:hint="default" w:ascii="Times New Roman" w:hAnsi="Times New Roman" w:eastAsia="仿宋_GB2312" w:cs="Times New Roman"/>
          <w:color w:val="auto"/>
          <w:kern w:val="2"/>
          <w:sz w:val="32"/>
          <w:szCs w:val="32"/>
          <w:lang w:val="zh-CN" w:eastAsia="zh-CN" w:bidi="ar-SA"/>
        </w:rPr>
        <w:t>。具体情况如下：</w:t>
      </w:r>
    </w:p>
    <w:p w14:paraId="47E3D99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一般公共预算财政拨款本年收入1,169.15</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,比上年减少</w:t>
      </w:r>
      <w:r>
        <w:rPr>
          <w:rFonts w:hint="eastAsia" w:ascii="Times New Roman" w:hAnsi="Times New Roman" w:eastAsia="仿宋_GB2312" w:cs="Times New Roman"/>
          <w:color w:val="auto"/>
          <w:kern w:val="2"/>
          <w:sz w:val="32"/>
          <w:szCs w:val="32"/>
          <w:lang w:val="en-US" w:eastAsia="zh-CN" w:bidi="ar-SA"/>
        </w:rPr>
        <w:t>145.51</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2023年上划到市里</w:t>
      </w:r>
      <w:r>
        <w:rPr>
          <w:rFonts w:hint="default" w:ascii="Times New Roman" w:hAnsi="Times New Roman" w:eastAsia="仿宋_GB2312" w:cs="Times New Roman"/>
          <w:kern w:val="2"/>
          <w:sz w:val="32"/>
          <w:szCs w:val="32"/>
          <w:lang w:val="zh-CN"/>
        </w:rPr>
        <w:t>；本年支出 1,169.17</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元，比上年减少</w:t>
      </w:r>
      <w:r>
        <w:rPr>
          <w:rFonts w:hint="eastAsia" w:ascii="Times New Roman" w:hAnsi="Times New Roman" w:eastAsia="仿宋_GB2312" w:cs="Times New Roman"/>
          <w:color w:val="auto"/>
          <w:kern w:val="2"/>
          <w:sz w:val="32"/>
          <w:szCs w:val="32"/>
          <w:lang w:val="en-US" w:eastAsia="zh-CN" w:bidi="ar-SA"/>
        </w:rPr>
        <w:t>175.6</w:t>
      </w:r>
      <w:r>
        <w:rPr>
          <w:rFonts w:hint="default"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color w:val="auto"/>
          <w:kern w:val="2"/>
          <w:sz w:val="32"/>
          <w:szCs w:val="32"/>
          <w:lang w:val="en-US" w:eastAsia="zh-CN" w:bidi="ar-SA"/>
        </w:rPr>
        <w:t>13.1</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2023年上划到市里</w:t>
      </w:r>
      <w:r>
        <w:rPr>
          <w:rFonts w:hint="default" w:ascii="Times New Roman" w:hAnsi="Times New Roman" w:eastAsia="仿宋_GB2312" w:cs="Times New Roman"/>
          <w:kern w:val="2"/>
          <w:sz w:val="32"/>
          <w:szCs w:val="32"/>
          <w:lang w:val="zh-CN"/>
        </w:rPr>
        <w:t>。</w:t>
      </w:r>
    </w:p>
    <w:p w14:paraId="6181AB8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p>
    <w:p w14:paraId="3EBC907B">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p>
    <w:p w14:paraId="262B08CF">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13EEAE07">
      <w:p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年度财政拨款本年收入1,169.15万元，本年支出1,169.17万元，</w:t>
      </w:r>
      <w:r>
        <w:rPr>
          <w:rFonts w:hint="eastAsia" w:ascii="Times New Roman" w:hAnsi="Times New Roman" w:eastAsia="仿宋_GB2312" w:cs="Times New Roman"/>
          <w:color w:val="auto"/>
          <w:kern w:val="2"/>
          <w:sz w:val="32"/>
          <w:szCs w:val="32"/>
          <w:lang w:val="en-US" w:eastAsia="zh-CN" w:bidi="ar-SA"/>
        </w:rPr>
        <w:t>因2023年刚上划到市里，只有年初预算草案。</w:t>
      </w:r>
    </w:p>
    <w:p w14:paraId="325623C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具体情况如下：</w:t>
      </w:r>
    </w:p>
    <w:p w14:paraId="4989901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收入1,169.15万元，本年支出1,169.17万元。</w:t>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E97894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2ACCCD0A">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年度财政拨款支出1,169.17万元，</w:t>
      </w:r>
      <w:r>
        <w:rPr>
          <w:rFonts w:hint="eastAsia" w:ascii="Times New Roman" w:hAnsi="Times New Roman" w:eastAsia="仿宋_GB2312" w:cs="Times New Roman"/>
          <w:kern w:val="2"/>
          <w:sz w:val="32"/>
          <w:szCs w:val="32"/>
          <w:lang w:val="en-US" w:eastAsia="zh-CN"/>
        </w:rPr>
        <w:t>全部</w:t>
      </w:r>
      <w:r>
        <w:rPr>
          <w:rFonts w:hint="default" w:ascii="Times New Roman" w:hAnsi="Times New Roman" w:eastAsia="仿宋_GB2312" w:cs="Times New Roman"/>
          <w:kern w:val="2"/>
          <w:sz w:val="32"/>
          <w:szCs w:val="32"/>
          <w:lang w:val="zh-CN"/>
        </w:rPr>
        <w:t>用于以下方面：</w:t>
      </w:r>
      <w:r>
        <w:rPr>
          <w:rFonts w:hint="default" w:ascii="Times New Roman" w:hAnsi="Times New Roman" w:eastAsia="仿宋_GB2312" w:cs="Times New Roman"/>
          <w:color w:val="auto"/>
          <w:kern w:val="2"/>
          <w:sz w:val="32"/>
          <w:szCs w:val="32"/>
          <w:lang w:val="zh-CN" w:eastAsia="zh-CN" w:bidi="ar-SA"/>
        </w:rPr>
        <w:t>公共安全类（类）支出1,169.17万元，占100%。</w:t>
      </w:r>
    </w:p>
    <w:p w14:paraId="71AAFBA0">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p>
    <w:p w14:paraId="208B0E1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年度财政拨款基本支出0.01万元，其中：</w:t>
      </w:r>
    </w:p>
    <w:p w14:paraId="54041CE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color w:val="auto"/>
          <w:kern w:val="2"/>
          <w:sz w:val="32"/>
          <w:szCs w:val="32"/>
          <w:lang w:val="zh-CN" w:eastAsia="zh-CN" w:bidi="ar-SA"/>
        </w:rPr>
        <w:t>人员经费0.01万元，</w:t>
      </w:r>
      <w:r>
        <w:rPr>
          <w:rFonts w:hint="eastAsia" w:ascii="Times New Roman" w:hAnsi="Times New Roman" w:eastAsia="仿宋_GB2312" w:cs="Times New Roman"/>
          <w:color w:val="auto"/>
          <w:kern w:val="2"/>
          <w:sz w:val="32"/>
          <w:szCs w:val="32"/>
          <w:lang w:val="en-US" w:eastAsia="zh-CN" w:bidi="ar-SA"/>
        </w:rPr>
        <w:t>为</w:t>
      </w:r>
      <w:r>
        <w:rPr>
          <w:rFonts w:hint="default" w:ascii="Times New Roman" w:hAnsi="Times New Roman" w:eastAsia="仿宋_GB2312" w:cs="Times New Roman"/>
          <w:color w:val="auto"/>
          <w:kern w:val="2"/>
          <w:sz w:val="32"/>
          <w:szCs w:val="32"/>
          <w:lang w:val="zh-CN" w:eastAsia="zh-CN" w:bidi="ar-SA"/>
        </w:rPr>
        <w:t>基本工资。</w:t>
      </w:r>
    </w:p>
    <w:p w14:paraId="42E50CD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2E28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78E633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年度“三公”经费财政拨款支出预算为13.5万元，支出决算为 13.48万元，完成预算的 99.82%，较预算减少</w:t>
      </w:r>
      <w:r>
        <w:rPr>
          <w:rFonts w:hint="eastAsia" w:ascii="Times New Roman" w:hAnsi="Times New Roman" w:eastAsia="仿宋_GB2312" w:cs="Times New Roman"/>
          <w:color w:val="auto"/>
          <w:kern w:val="2"/>
          <w:sz w:val="32"/>
          <w:szCs w:val="32"/>
          <w:lang w:val="en-US" w:eastAsia="zh-CN" w:bidi="ar-SA"/>
        </w:rPr>
        <w:t>0.02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严格控制公务用车购置费、公务用车运行费</w:t>
      </w:r>
      <w:r>
        <w:rPr>
          <w:rFonts w:hint="default" w:ascii="Times New Roman" w:hAnsi="Times New Roman" w:eastAsia="仿宋_GB2312" w:cs="Times New Roman"/>
          <w:color w:val="auto"/>
          <w:kern w:val="2"/>
          <w:sz w:val="32"/>
          <w:szCs w:val="32"/>
          <w:lang w:val="zh-CN" w:eastAsia="zh-CN" w:bidi="ar-SA"/>
        </w:rPr>
        <w:t>；较2022年度决算减少</w:t>
      </w:r>
      <w:r>
        <w:rPr>
          <w:rFonts w:hint="eastAsia" w:ascii="Times New Roman" w:hAnsi="Times New Roman" w:eastAsia="仿宋_GB2312" w:cs="Times New Roman"/>
          <w:color w:val="auto"/>
          <w:kern w:val="2"/>
          <w:sz w:val="32"/>
          <w:szCs w:val="32"/>
          <w:lang w:val="en-US" w:eastAsia="zh-CN" w:bidi="ar-SA"/>
        </w:rPr>
        <w:t>2.94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严格控制公务用车购置费、公务用车运行费</w:t>
      </w:r>
      <w:r>
        <w:rPr>
          <w:rFonts w:hint="default" w:ascii="Times New Roman" w:hAnsi="Times New Roman" w:eastAsia="仿宋_GB2312" w:cs="Times New Roman"/>
          <w:color w:val="auto"/>
          <w:kern w:val="2"/>
          <w:sz w:val="32"/>
          <w:szCs w:val="32"/>
          <w:lang w:val="zh-CN" w:eastAsia="zh-CN" w:bidi="ar-SA"/>
        </w:rPr>
        <w:t>。</w:t>
      </w:r>
    </w:p>
    <w:p w14:paraId="34DB71E4">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2D87BD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年度未发生因公出国（境）费。与年初预算数一致，与上年决算一致。</w:t>
      </w:r>
    </w:p>
    <w:p w14:paraId="40E15F8D">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年度公务用车购置及运行维护费预算为13.5万元，支出决算 13.48万元，完成预算的99.82%,较预算增加减少</w:t>
      </w:r>
      <w:r>
        <w:rPr>
          <w:rFonts w:hint="eastAsia" w:ascii="Times New Roman" w:hAnsi="Times New Roman" w:eastAsia="仿宋_GB2312" w:cs="Times New Roman"/>
          <w:color w:val="auto"/>
          <w:kern w:val="2"/>
          <w:sz w:val="32"/>
          <w:szCs w:val="32"/>
          <w:lang w:val="en-US" w:eastAsia="zh-CN" w:bidi="ar-SA"/>
        </w:rPr>
        <w:t>0.02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严格控制公务用车购置费、公务用车运行费</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2.94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严格控制公务用车购置费、公务用车运行费</w:t>
      </w:r>
      <w:r>
        <w:rPr>
          <w:rFonts w:hint="default" w:ascii="Times New Roman" w:hAnsi="Times New Roman" w:eastAsia="仿宋_GB2312" w:cs="Times New Roman"/>
          <w:color w:val="auto"/>
          <w:kern w:val="2"/>
          <w:sz w:val="32"/>
          <w:szCs w:val="32"/>
          <w:lang w:val="zh-CN" w:eastAsia="zh-CN" w:bidi="ar-SA"/>
        </w:rPr>
        <w:t>。其中：</w:t>
      </w:r>
    </w:p>
    <w:p w14:paraId="16051B5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3063D90F">
      <w:pPr>
        <w:adjustRightInd w:val="0"/>
        <w:snapToGrid w:val="0"/>
        <w:spacing w:line="580" w:lineRule="exact"/>
        <w:ind w:firstLine="643" w:firstLineChars="200"/>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年度未发生“公务用车购置”经费支出</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与年初预算数一致，与上年决算一致。</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13.48</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年度单位公务用车保有量7辆，发生运行维护费支出13.48万元。公车运行维护费支出较预算减少</w:t>
      </w:r>
      <w:r>
        <w:rPr>
          <w:rFonts w:hint="eastAsia" w:ascii="Times New Roman" w:hAnsi="Times New Roman" w:eastAsia="仿宋_GB2312" w:cs="Times New Roman"/>
          <w:color w:val="auto"/>
          <w:kern w:val="2"/>
          <w:sz w:val="32"/>
          <w:szCs w:val="32"/>
          <w:lang w:val="en-US" w:eastAsia="zh-CN" w:bidi="ar-SA"/>
        </w:rPr>
        <w:t>0.02</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严格控制公务用车购置费、公务用车运行费</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2.94</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严格控制公务用车购置费、公务用车运行费</w:t>
      </w:r>
      <w:r>
        <w:rPr>
          <w:rFonts w:hint="default" w:ascii="Times New Roman" w:hAnsi="Times New Roman" w:eastAsia="仿宋_GB2312" w:cs="Times New Roman"/>
          <w:color w:val="auto"/>
          <w:kern w:val="2"/>
          <w:sz w:val="32"/>
          <w:szCs w:val="32"/>
          <w:lang w:val="zh-CN" w:eastAsia="zh-CN" w:bidi="ar-SA"/>
        </w:rPr>
        <w:t>。</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年度未发生公务接待费。与年初预算数一致，与上年决算一致。</w:t>
      </w:r>
    </w:p>
    <w:p w14:paraId="0913FA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138E4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年度机关运行经费支出0万元，较2022年度减少</w:t>
      </w:r>
      <w:r>
        <w:rPr>
          <w:rFonts w:hint="eastAsia" w:ascii="Times New Roman" w:hAnsi="Times New Roman" w:eastAsia="仿宋_GB2312" w:cs="Times New Roman"/>
          <w:color w:val="auto"/>
          <w:kern w:val="2"/>
          <w:sz w:val="32"/>
          <w:szCs w:val="32"/>
          <w:lang w:val="en-US" w:eastAsia="zh-CN" w:bidi="ar-SA"/>
        </w:rPr>
        <w:t>75.96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2023年上划到市里</w:t>
      </w:r>
      <w:r>
        <w:rPr>
          <w:rFonts w:hint="default" w:ascii="Times New Roman" w:hAnsi="Times New Roman" w:eastAsia="仿宋_GB2312" w:cs="Times New Roman"/>
          <w:color w:val="auto"/>
          <w:kern w:val="2"/>
          <w:sz w:val="32"/>
          <w:szCs w:val="32"/>
          <w:lang w:val="zh-CN" w:eastAsia="zh-CN" w:bidi="ar-SA"/>
        </w:rPr>
        <w:t>。</w:t>
      </w:r>
    </w:p>
    <w:p w14:paraId="1F04AC0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7280F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年度政府采购支出总额235.97万元，从采购类型来看，政府采购货物支出106.05万元、政府采购服务支出129.92万元。</w:t>
      </w:r>
    </w:p>
    <w:p w14:paraId="2947BF3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4B3E7C5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7</w:t>
      </w:r>
      <w:r>
        <w:rPr>
          <w:rFonts w:hint="eastAsia" w:ascii="仿宋_GB2312" w:hAnsi="Times New Roman" w:eastAsia="仿宋_GB2312" w:cs="DengXian-Regular"/>
          <w:sz w:val="32"/>
          <w:szCs w:val="32"/>
        </w:rPr>
        <w:t>辆</w:t>
      </w:r>
      <w:r>
        <w:rPr>
          <w:rFonts w:hint="default"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DengXian-Regular"/>
          <w:sz w:val="32"/>
          <w:szCs w:val="32"/>
        </w:rPr>
        <w:t>无增减辆</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rPr>
        <w:t>执法执勤车辆和应急通道车辆</w:t>
      </w:r>
      <w:r>
        <w:rPr>
          <w:rFonts w:hint="default" w:ascii="Times New Roman" w:hAnsi="Times New Roman" w:eastAsia="仿宋_GB2312" w:cs="Times New Roman"/>
          <w:color w:val="auto"/>
          <w:kern w:val="2"/>
          <w:sz w:val="32"/>
          <w:szCs w:val="32"/>
          <w:lang w:val="zh-CN" w:eastAsia="zh-CN" w:bidi="ar-SA"/>
        </w:rPr>
        <w:t>。其中，应急保障用车1辆，执法执勤用车6辆。单位价值100万元（含）以上设备（不含车辆）</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台（套）。</w:t>
      </w:r>
    </w:p>
    <w:p w14:paraId="7830A3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E033E8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5DB905D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1216.68</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无</w:t>
      </w:r>
      <w:r>
        <w:rPr>
          <w:rFonts w:hint="default" w:ascii="Times New Roman" w:hAnsi="Times New Roman" w:eastAsia="仿宋_GB2312" w:cs="Times New Roman"/>
          <w:color w:val="auto"/>
          <w:kern w:val="2"/>
          <w:sz w:val="32"/>
          <w:szCs w:val="32"/>
          <w:lang w:val="zh-CN" w:eastAsia="zh-CN" w:bidi="ar-SA"/>
        </w:rPr>
        <w:t>政府性基金预算项目</w:t>
      </w:r>
      <w:r>
        <w:rPr>
          <w:rFonts w:hint="eastAsia" w:ascii="Times New Roman" w:hAnsi="Times New Roman" w:eastAsia="仿宋_GB2312" w:cs="Times New Roman"/>
          <w:color w:val="auto"/>
          <w:kern w:val="2"/>
          <w:sz w:val="32"/>
          <w:szCs w:val="32"/>
          <w:lang w:val="en-US" w:eastAsia="zh-CN" w:bidi="ar-SA"/>
        </w:rPr>
        <w:t>和</w:t>
      </w:r>
      <w:r>
        <w:rPr>
          <w:rFonts w:hint="default" w:ascii="Times New Roman" w:hAnsi="Times New Roman" w:eastAsia="仿宋_GB2312" w:cs="Times New Roman"/>
          <w:color w:val="auto"/>
          <w:kern w:val="2"/>
          <w:sz w:val="32"/>
          <w:szCs w:val="32"/>
          <w:lang w:val="zh-CN" w:eastAsia="zh-CN" w:bidi="ar-SA"/>
        </w:rPr>
        <w:t>国有资本经营预算项目。</w:t>
      </w:r>
    </w:p>
    <w:p w14:paraId="1FA58538">
      <w:pPr>
        <w:numPr>
          <w:ilvl w:val="0"/>
          <w:numId w:val="0"/>
        </w:numPr>
        <w:pBdr>
          <w:bottom w:val="none" w:color="auto" w:sz="0" w:space="11"/>
        </w:pBdr>
        <w:autoSpaceDN w:val="0"/>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从评价情况来看，</w:t>
      </w:r>
      <w:r>
        <w:rPr>
          <w:rFonts w:hint="eastAsia" w:ascii="Times New Roman" w:hAnsi="Times New Roman" w:eastAsia="仿宋_GB2312" w:cs="Times New Roman"/>
          <w:color w:val="auto"/>
          <w:kern w:val="2"/>
          <w:sz w:val="32"/>
          <w:szCs w:val="32"/>
          <w:lang w:val="en-US" w:eastAsia="zh-CN" w:bidi="ar-SA"/>
        </w:rPr>
        <w:t>绩效目标设定清晰准确，绩效指标较为全面完整，科学合理。我单位较好地完成了2023年初设定的工作任务，各项项目得到有序开展。</w:t>
      </w:r>
    </w:p>
    <w:p w14:paraId="2F463FF6">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14:paraId="3E712A36">
      <w:pPr>
        <w:numPr>
          <w:ilvl w:val="0"/>
          <w:numId w:val="0"/>
        </w:numPr>
        <w:adjustRightInd w:val="0"/>
        <w:snapToGrid w:val="0"/>
        <w:spacing w:line="580" w:lineRule="exact"/>
        <w:ind w:leftChars="0" w:firstLine="640" w:firstLineChars="200"/>
        <w:rPr>
          <w:rFonts w:hint="default" w:ascii="Times New Roman" w:hAnsi="Times New Roman" w:eastAsia="仿宋_GB2312" w:cs="Times New Roman"/>
          <w:b/>
          <w:bCs/>
          <w:sz w:val="32"/>
          <w:szCs w:val="32"/>
        </w:rPr>
      </w:pPr>
      <w:r>
        <w:rPr>
          <w:rFonts w:hint="eastAsia" w:ascii="仿宋_GB2312" w:hAnsi="Times New Roman" w:eastAsia="仿宋_GB2312" w:cs="DengXian-Regular"/>
          <w:sz w:val="32"/>
          <w:szCs w:val="32"/>
          <w:highlight w:val="none"/>
        </w:rPr>
        <w:t>根据绩效评价情况，我单位认真落实相关政策，积极发挥资金效益，评价小组根据评价指标进行了量化考核，经费主要用于保障我院各类捕诉案件及各项行政检察工作的顺利进行，推动县检察业务工作高质量发展。经费评价得分为97分，综合评价结果为优。</w:t>
      </w:r>
      <w:bookmarkStart w:id="0" w:name="_GoBack"/>
      <w:bookmarkEnd w:id="0"/>
    </w:p>
    <w:p w14:paraId="44E7568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34D21E5B">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仿宋_GB2312" w:hAnsi="Times New Roman" w:eastAsia="仿宋_GB2312" w:cs="DengXian-Regular"/>
          <w:sz w:val="32"/>
          <w:szCs w:val="32"/>
        </w:rPr>
        <w:t>政府性基金预算财政拨款、国有资本经营预算财政拨款</w:t>
      </w:r>
      <w:r>
        <w:rPr>
          <w:rFonts w:hint="default" w:ascii="Times New Roman" w:hAnsi="Times New Roman" w:eastAsia="仿宋_GB2312" w:cs="Times New Roman"/>
          <w:sz w:val="32"/>
          <w:szCs w:val="32"/>
        </w:rPr>
        <w:t>无收支及结转结余情况，故</w:t>
      </w:r>
      <w:r>
        <w:rPr>
          <w:rFonts w:hint="eastAsia" w:ascii="仿宋_GB2312" w:hAnsi="Times New Roman" w:eastAsia="仿宋_GB2312" w:cs="DengXian-Regular"/>
          <w:sz w:val="32"/>
          <w:szCs w:val="32"/>
        </w:rPr>
        <w:t>政府性基金预算财政拨款收入支出决算表、国有资本经营预算财政拨款支出决算</w:t>
      </w:r>
      <w:r>
        <w:rPr>
          <w:rFonts w:hint="default" w:ascii="Times New Roman" w:hAnsi="Times New Roman" w:eastAsia="仿宋_GB2312" w:cs="Times New Roman"/>
          <w:sz w:val="32"/>
          <w:szCs w:val="32"/>
        </w:rPr>
        <w:t>表以空表列示。</w:t>
      </w:r>
    </w:p>
    <w:p w14:paraId="3A5D9A35">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06A5998">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2B0FB3A9">
      <w:pPr>
        <w:rPr>
          <w:rFonts w:hint="default" w:ascii="Times New Roman" w:hAnsi="Times New Roman" w:eastAsia="仿宋_GB2312" w:cs="Times New Roman"/>
          <w:sz w:val="32"/>
          <w:szCs w:val="32"/>
        </w:rPr>
      </w:pP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73EA28">
      <w:pPr>
        <w:rPr>
          <w:rFonts w:hint="default" w:ascii="Times New Roman" w:hAnsi="Times New Roman" w:cs="Times New Roman"/>
        </w:rPr>
      </w:pPr>
    </w:p>
    <w:p w14:paraId="4423DC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EAC70DC-D869-4D56-B225-9CFA912D12AE}"/>
  </w:font>
  <w:font w:name="黑体">
    <w:panose1 w:val="02010609060101010101"/>
    <w:charset w:val="86"/>
    <w:family w:val="auto"/>
    <w:pitch w:val="default"/>
    <w:sig w:usb0="800002BF" w:usb1="38CF7CFA" w:usb2="00000016" w:usb3="00000000" w:csb0="00040001" w:csb1="00000000"/>
    <w:embedRegular r:id="rId2" w:fontKey="{CC699861-B930-42AA-ABBF-CB31A29F28A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8664DD3-6D33-4398-9407-58DFFA2F97EF}"/>
  </w:font>
  <w:font w:name="仿宋">
    <w:panose1 w:val="02010609060101010101"/>
    <w:charset w:val="86"/>
    <w:family w:val="modern"/>
    <w:pitch w:val="default"/>
    <w:sig w:usb0="800002BF" w:usb1="38CF7CFA" w:usb2="00000016" w:usb3="00000000" w:csb0="00040001" w:csb1="00000000"/>
    <w:embedRegular r:id="rId4" w:fontKey="{D964408B-ECA0-49E5-AAEC-D8BE9D29407C}"/>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647D606D-D516-4724-9562-3FB5308BA735}"/>
  </w:font>
  <w:font w:name="思源黑体 CN Heavy">
    <w:altName w:val="黑体"/>
    <w:panose1 w:val="00000000000000000000"/>
    <w:charset w:val="86"/>
    <w:family w:val="swiss"/>
    <w:pitch w:val="default"/>
    <w:sig w:usb0="00000000" w:usb1="00000000" w:usb2="00000016" w:usb3="00000000" w:csb0="00060107" w:csb1="00000000"/>
    <w:embedRegular r:id="rId6" w:fontKey="{FDD012E8-4DF5-402B-BFC0-208DCCE467AD}"/>
  </w:font>
  <w:font w:name="楷体_GB2312">
    <w:panose1 w:val="02010609030101010101"/>
    <w:charset w:val="86"/>
    <w:family w:val="auto"/>
    <w:pitch w:val="default"/>
    <w:sig w:usb0="00000001" w:usb1="080E0000" w:usb2="00000000" w:usb3="00000000" w:csb0="00040000" w:csb1="00000000"/>
    <w:embedRegular r:id="rId7" w:fontKey="{CB95CE92-885E-4636-85C7-047D7119C2D4}"/>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8" w:fontKey="{9D4371D8-D062-4D5C-AEC2-E30C2C05523C}"/>
  </w:font>
  <w:font w:name="ArialUnicodeMS">
    <w:altName w:val="Malgun Gothic"/>
    <w:panose1 w:val="00000000000000000000"/>
    <w:charset w:val="81"/>
    <w:family w:val="auto"/>
    <w:pitch w:val="default"/>
    <w:sig w:usb0="00000000" w:usb1="00000000" w:usb2="00000010" w:usb3="00000000" w:csb0="00080001" w:csb1="00000000"/>
    <w:embedRegular r:id="rId9" w:fontKey="{310BADE6-4F3D-444E-89DA-1DFB9BC95A08}"/>
  </w:font>
  <w:font w:name="方正仿宋_GB2312">
    <w:panose1 w:val="02000000000000000000"/>
    <w:charset w:val="86"/>
    <w:family w:val="auto"/>
    <w:pitch w:val="default"/>
    <w:sig w:usb0="A00002BF" w:usb1="184F6CFA" w:usb2="00000012" w:usb3="00000000" w:csb0="00040001" w:csb1="00000000"/>
    <w:embedRegular r:id="rId10" w:fontKey="{5BF268C1-8448-4982-BD26-BFBFA0E2F0E1}"/>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11" w:fontKey="{2AB405F5-3C5D-4C06-82F8-31C044D042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4063589D"/>
    <w:multiLevelType w:val="singleLevel"/>
    <w:tmpl w:val="4063589D"/>
    <w:lvl w:ilvl="0" w:tentative="0">
      <w:start w:val="2"/>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TksImhkaWQiOiIzYmI1NGI1MzE4NTQ1NTgzNjVkOGFmOTAwYmRjZGU5OSIsInVzZXJDb3VudCI6MzB9"/>
  </w:docVars>
  <w:rsids>
    <w:rsidRoot w:val="00000000"/>
    <w:rsid w:val="00086151"/>
    <w:rsid w:val="00236F8C"/>
    <w:rsid w:val="00822154"/>
    <w:rsid w:val="00A23CA3"/>
    <w:rsid w:val="00C65689"/>
    <w:rsid w:val="00CC2C8E"/>
    <w:rsid w:val="01794130"/>
    <w:rsid w:val="01A03C5A"/>
    <w:rsid w:val="01A5267D"/>
    <w:rsid w:val="01AF6A8D"/>
    <w:rsid w:val="024808A2"/>
    <w:rsid w:val="025C3821"/>
    <w:rsid w:val="02DA3B1B"/>
    <w:rsid w:val="02E57B4D"/>
    <w:rsid w:val="03450B90"/>
    <w:rsid w:val="037B12D4"/>
    <w:rsid w:val="03804D63"/>
    <w:rsid w:val="03FB73B0"/>
    <w:rsid w:val="047F2DDF"/>
    <w:rsid w:val="049C1B9D"/>
    <w:rsid w:val="04BD008C"/>
    <w:rsid w:val="04C55939"/>
    <w:rsid w:val="04DA28BB"/>
    <w:rsid w:val="04F528BE"/>
    <w:rsid w:val="050E10CE"/>
    <w:rsid w:val="054F2DFB"/>
    <w:rsid w:val="05991C82"/>
    <w:rsid w:val="05F9301F"/>
    <w:rsid w:val="061416A9"/>
    <w:rsid w:val="061D60A6"/>
    <w:rsid w:val="06236884"/>
    <w:rsid w:val="06B07006"/>
    <w:rsid w:val="06FC7C2A"/>
    <w:rsid w:val="07533AFE"/>
    <w:rsid w:val="078801B7"/>
    <w:rsid w:val="07B3657A"/>
    <w:rsid w:val="07C857D0"/>
    <w:rsid w:val="083E6326"/>
    <w:rsid w:val="08442237"/>
    <w:rsid w:val="088F5575"/>
    <w:rsid w:val="08AB5AAF"/>
    <w:rsid w:val="08DA7138"/>
    <w:rsid w:val="09012C64"/>
    <w:rsid w:val="092D54BA"/>
    <w:rsid w:val="093B2E99"/>
    <w:rsid w:val="095D7943"/>
    <w:rsid w:val="09C006C6"/>
    <w:rsid w:val="09C37BCC"/>
    <w:rsid w:val="0A10621F"/>
    <w:rsid w:val="0A464C4F"/>
    <w:rsid w:val="0A6729A3"/>
    <w:rsid w:val="0A694877"/>
    <w:rsid w:val="0A873F23"/>
    <w:rsid w:val="0AA954BE"/>
    <w:rsid w:val="0AE70639"/>
    <w:rsid w:val="0B0D6160"/>
    <w:rsid w:val="0B4F5E6D"/>
    <w:rsid w:val="0B753AE2"/>
    <w:rsid w:val="0BB67D0A"/>
    <w:rsid w:val="0BC56230"/>
    <w:rsid w:val="0BCF21BD"/>
    <w:rsid w:val="0C142961"/>
    <w:rsid w:val="0C4E53E8"/>
    <w:rsid w:val="0C6712D6"/>
    <w:rsid w:val="0C9F7900"/>
    <w:rsid w:val="0CB23317"/>
    <w:rsid w:val="0D101068"/>
    <w:rsid w:val="0D4E13BE"/>
    <w:rsid w:val="0D6D5B7A"/>
    <w:rsid w:val="0D7557DF"/>
    <w:rsid w:val="0D853E34"/>
    <w:rsid w:val="0D9C2A57"/>
    <w:rsid w:val="0DDD7A2E"/>
    <w:rsid w:val="0DFA5D82"/>
    <w:rsid w:val="0E1E52CE"/>
    <w:rsid w:val="0E866524"/>
    <w:rsid w:val="0E9268D3"/>
    <w:rsid w:val="0E957F1F"/>
    <w:rsid w:val="0F0E7284"/>
    <w:rsid w:val="0F28110F"/>
    <w:rsid w:val="0F2F6254"/>
    <w:rsid w:val="0F37083F"/>
    <w:rsid w:val="0F683FEE"/>
    <w:rsid w:val="0F891DB8"/>
    <w:rsid w:val="0FAA3B86"/>
    <w:rsid w:val="10191346"/>
    <w:rsid w:val="102A01A6"/>
    <w:rsid w:val="10754A6C"/>
    <w:rsid w:val="108B537D"/>
    <w:rsid w:val="10B11DB1"/>
    <w:rsid w:val="10F70CB9"/>
    <w:rsid w:val="11177F57"/>
    <w:rsid w:val="11217C97"/>
    <w:rsid w:val="11464C20"/>
    <w:rsid w:val="115E4926"/>
    <w:rsid w:val="118A1FFA"/>
    <w:rsid w:val="11E35B5A"/>
    <w:rsid w:val="11E42DD6"/>
    <w:rsid w:val="125F5A1B"/>
    <w:rsid w:val="126979D6"/>
    <w:rsid w:val="129E45A7"/>
    <w:rsid w:val="13074404"/>
    <w:rsid w:val="136A5C00"/>
    <w:rsid w:val="13B97B08"/>
    <w:rsid w:val="13C527AC"/>
    <w:rsid w:val="14004C89"/>
    <w:rsid w:val="14456D19"/>
    <w:rsid w:val="146B333A"/>
    <w:rsid w:val="14711797"/>
    <w:rsid w:val="147B6F17"/>
    <w:rsid w:val="14A66E04"/>
    <w:rsid w:val="14D42061"/>
    <w:rsid w:val="15081C8B"/>
    <w:rsid w:val="15090D5C"/>
    <w:rsid w:val="15325D8B"/>
    <w:rsid w:val="15CF053D"/>
    <w:rsid w:val="15E0131A"/>
    <w:rsid w:val="16457D9F"/>
    <w:rsid w:val="168B6710"/>
    <w:rsid w:val="17223EFF"/>
    <w:rsid w:val="17224844"/>
    <w:rsid w:val="17AA5F28"/>
    <w:rsid w:val="17B45A93"/>
    <w:rsid w:val="17B713F6"/>
    <w:rsid w:val="184350A0"/>
    <w:rsid w:val="18935485"/>
    <w:rsid w:val="18A34206"/>
    <w:rsid w:val="18DE3B2C"/>
    <w:rsid w:val="1906685D"/>
    <w:rsid w:val="19111683"/>
    <w:rsid w:val="19266CBF"/>
    <w:rsid w:val="19353916"/>
    <w:rsid w:val="19373188"/>
    <w:rsid w:val="193E101D"/>
    <w:rsid w:val="19C10AF1"/>
    <w:rsid w:val="1A017CDA"/>
    <w:rsid w:val="1A2672DE"/>
    <w:rsid w:val="1AA81D42"/>
    <w:rsid w:val="1AB433D9"/>
    <w:rsid w:val="1AFB6D70"/>
    <w:rsid w:val="1B1B11EE"/>
    <w:rsid w:val="1B2D76A8"/>
    <w:rsid w:val="1B3719E0"/>
    <w:rsid w:val="1B4362F1"/>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238FF"/>
    <w:rsid w:val="1D6C5CA0"/>
    <w:rsid w:val="1D725586"/>
    <w:rsid w:val="1D745B4F"/>
    <w:rsid w:val="1D867987"/>
    <w:rsid w:val="1D944010"/>
    <w:rsid w:val="1DD70E85"/>
    <w:rsid w:val="1DE74AD7"/>
    <w:rsid w:val="1DF60A19"/>
    <w:rsid w:val="1DFA6713"/>
    <w:rsid w:val="1E050843"/>
    <w:rsid w:val="1E200CF1"/>
    <w:rsid w:val="1E2D3FB0"/>
    <w:rsid w:val="1E2E50F1"/>
    <w:rsid w:val="1E3B4E26"/>
    <w:rsid w:val="1E7135D0"/>
    <w:rsid w:val="1E8079E2"/>
    <w:rsid w:val="1EC45B21"/>
    <w:rsid w:val="1EDF707D"/>
    <w:rsid w:val="1F394761"/>
    <w:rsid w:val="1F65664C"/>
    <w:rsid w:val="1F7C149A"/>
    <w:rsid w:val="1F84140D"/>
    <w:rsid w:val="1F9B7FFD"/>
    <w:rsid w:val="1F9C7614"/>
    <w:rsid w:val="1FA85442"/>
    <w:rsid w:val="1FBE1971"/>
    <w:rsid w:val="2008768D"/>
    <w:rsid w:val="204B327F"/>
    <w:rsid w:val="204C2B10"/>
    <w:rsid w:val="207D30AD"/>
    <w:rsid w:val="209064B9"/>
    <w:rsid w:val="20970D81"/>
    <w:rsid w:val="20D165D5"/>
    <w:rsid w:val="20E22BD6"/>
    <w:rsid w:val="210878E6"/>
    <w:rsid w:val="210E1408"/>
    <w:rsid w:val="211069AD"/>
    <w:rsid w:val="21573FAB"/>
    <w:rsid w:val="2172069C"/>
    <w:rsid w:val="21987BC4"/>
    <w:rsid w:val="21BE314A"/>
    <w:rsid w:val="21EE1107"/>
    <w:rsid w:val="220451AB"/>
    <w:rsid w:val="2237486E"/>
    <w:rsid w:val="223D1378"/>
    <w:rsid w:val="22451BC7"/>
    <w:rsid w:val="22940650"/>
    <w:rsid w:val="22AD4B1E"/>
    <w:rsid w:val="22D31DF3"/>
    <w:rsid w:val="22FD3CF7"/>
    <w:rsid w:val="232C221B"/>
    <w:rsid w:val="2356249E"/>
    <w:rsid w:val="236E713A"/>
    <w:rsid w:val="23700968"/>
    <w:rsid w:val="238761A6"/>
    <w:rsid w:val="23920578"/>
    <w:rsid w:val="23940028"/>
    <w:rsid w:val="23AA4AF7"/>
    <w:rsid w:val="23BB6F9A"/>
    <w:rsid w:val="23FC3864"/>
    <w:rsid w:val="24857B00"/>
    <w:rsid w:val="24F25212"/>
    <w:rsid w:val="251B0465"/>
    <w:rsid w:val="254B0AC6"/>
    <w:rsid w:val="25571AB6"/>
    <w:rsid w:val="25B40AD6"/>
    <w:rsid w:val="25BE7872"/>
    <w:rsid w:val="25BF702A"/>
    <w:rsid w:val="264D2D17"/>
    <w:rsid w:val="26D50E55"/>
    <w:rsid w:val="271A539C"/>
    <w:rsid w:val="273852FE"/>
    <w:rsid w:val="274972D4"/>
    <w:rsid w:val="276E0D20"/>
    <w:rsid w:val="279658DD"/>
    <w:rsid w:val="27AA3D97"/>
    <w:rsid w:val="280A3758"/>
    <w:rsid w:val="289057C5"/>
    <w:rsid w:val="28A67C7A"/>
    <w:rsid w:val="28EA3248"/>
    <w:rsid w:val="28F879DA"/>
    <w:rsid w:val="294B7731"/>
    <w:rsid w:val="29514455"/>
    <w:rsid w:val="29522056"/>
    <w:rsid w:val="29D21FF2"/>
    <w:rsid w:val="2A611B0F"/>
    <w:rsid w:val="2A697EC4"/>
    <w:rsid w:val="2AC1762B"/>
    <w:rsid w:val="2AE845D0"/>
    <w:rsid w:val="2B073965"/>
    <w:rsid w:val="2B4975FB"/>
    <w:rsid w:val="2B695031"/>
    <w:rsid w:val="2B735A8F"/>
    <w:rsid w:val="2BA7478D"/>
    <w:rsid w:val="2BB038DB"/>
    <w:rsid w:val="2BB761E0"/>
    <w:rsid w:val="2BB812F9"/>
    <w:rsid w:val="2BE27F2E"/>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D2E72"/>
    <w:rsid w:val="2EFC0112"/>
    <w:rsid w:val="2F230642"/>
    <w:rsid w:val="2F2B730D"/>
    <w:rsid w:val="2F9B28CE"/>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532CA"/>
    <w:rsid w:val="346A2989"/>
    <w:rsid w:val="348865E9"/>
    <w:rsid w:val="348F70D5"/>
    <w:rsid w:val="349D2BAD"/>
    <w:rsid w:val="34B25886"/>
    <w:rsid w:val="34BD32E6"/>
    <w:rsid w:val="35277FF8"/>
    <w:rsid w:val="35763460"/>
    <w:rsid w:val="35776F72"/>
    <w:rsid w:val="35997371"/>
    <w:rsid w:val="35DD4D47"/>
    <w:rsid w:val="360134DF"/>
    <w:rsid w:val="360B1E2F"/>
    <w:rsid w:val="360D500F"/>
    <w:rsid w:val="36330424"/>
    <w:rsid w:val="366E2AEA"/>
    <w:rsid w:val="36FE3ABA"/>
    <w:rsid w:val="37072BDE"/>
    <w:rsid w:val="37455334"/>
    <w:rsid w:val="37731921"/>
    <w:rsid w:val="37E509C0"/>
    <w:rsid w:val="37E96FB8"/>
    <w:rsid w:val="37F76B0F"/>
    <w:rsid w:val="38222D85"/>
    <w:rsid w:val="38803721"/>
    <w:rsid w:val="38925A62"/>
    <w:rsid w:val="389F5F4F"/>
    <w:rsid w:val="38C36BA2"/>
    <w:rsid w:val="38F6595C"/>
    <w:rsid w:val="391702A7"/>
    <w:rsid w:val="39286EB6"/>
    <w:rsid w:val="39601DF4"/>
    <w:rsid w:val="396960F3"/>
    <w:rsid w:val="39840D35"/>
    <w:rsid w:val="39A97DAF"/>
    <w:rsid w:val="39B0341A"/>
    <w:rsid w:val="39CD1330"/>
    <w:rsid w:val="39DD1AFF"/>
    <w:rsid w:val="3A2510B9"/>
    <w:rsid w:val="3A2B1DFC"/>
    <w:rsid w:val="3AA6422C"/>
    <w:rsid w:val="3AAF46D5"/>
    <w:rsid w:val="3AC76C6D"/>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9E5F37"/>
    <w:rsid w:val="3EA5630D"/>
    <w:rsid w:val="3EBA731B"/>
    <w:rsid w:val="3ECC2AA4"/>
    <w:rsid w:val="3EE33949"/>
    <w:rsid w:val="3EFB5800"/>
    <w:rsid w:val="3F395C5F"/>
    <w:rsid w:val="3F3B4E59"/>
    <w:rsid w:val="3F6E677C"/>
    <w:rsid w:val="3F712F46"/>
    <w:rsid w:val="3FBC0EF7"/>
    <w:rsid w:val="3FCD2AB9"/>
    <w:rsid w:val="3FD17600"/>
    <w:rsid w:val="40026051"/>
    <w:rsid w:val="4041301D"/>
    <w:rsid w:val="4050218A"/>
    <w:rsid w:val="405C7868"/>
    <w:rsid w:val="408B24EB"/>
    <w:rsid w:val="408D1DBF"/>
    <w:rsid w:val="40C652D1"/>
    <w:rsid w:val="417044B8"/>
    <w:rsid w:val="41A203A0"/>
    <w:rsid w:val="41C77987"/>
    <w:rsid w:val="41E83F8C"/>
    <w:rsid w:val="422D1842"/>
    <w:rsid w:val="425B7C31"/>
    <w:rsid w:val="427D66D0"/>
    <w:rsid w:val="42890CAC"/>
    <w:rsid w:val="42BC7E02"/>
    <w:rsid w:val="42C82575"/>
    <w:rsid w:val="43022EE1"/>
    <w:rsid w:val="431A5F8F"/>
    <w:rsid w:val="431F247A"/>
    <w:rsid w:val="43335E8F"/>
    <w:rsid w:val="433F2968"/>
    <w:rsid w:val="43655F7F"/>
    <w:rsid w:val="43676E20"/>
    <w:rsid w:val="43A31040"/>
    <w:rsid w:val="43B81849"/>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AE7B45"/>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396F88"/>
    <w:rsid w:val="49677E31"/>
    <w:rsid w:val="496C2225"/>
    <w:rsid w:val="49AE2880"/>
    <w:rsid w:val="49B3535C"/>
    <w:rsid w:val="49F42EAF"/>
    <w:rsid w:val="4A337323"/>
    <w:rsid w:val="4A5B28DC"/>
    <w:rsid w:val="4AA06B93"/>
    <w:rsid w:val="4ADB18EB"/>
    <w:rsid w:val="4AE50A49"/>
    <w:rsid w:val="4B96118E"/>
    <w:rsid w:val="4BAE1B66"/>
    <w:rsid w:val="4BED4708"/>
    <w:rsid w:val="4BF133DC"/>
    <w:rsid w:val="4C1C493F"/>
    <w:rsid w:val="4C507D4A"/>
    <w:rsid w:val="4CDF5563"/>
    <w:rsid w:val="4CFB2214"/>
    <w:rsid w:val="4D0D7491"/>
    <w:rsid w:val="4D2C4D26"/>
    <w:rsid w:val="4D335E0E"/>
    <w:rsid w:val="4D4E4EA3"/>
    <w:rsid w:val="4D9A5B1B"/>
    <w:rsid w:val="4DA55D85"/>
    <w:rsid w:val="4DBB20DB"/>
    <w:rsid w:val="4DDC3F22"/>
    <w:rsid w:val="4DE66FB2"/>
    <w:rsid w:val="4E1040C7"/>
    <w:rsid w:val="4E1760BF"/>
    <w:rsid w:val="4E30647F"/>
    <w:rsid w:val="4E772300"/>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9E1DC6"/>
    <w:rsid w:val="50A73B5B"/>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B75204"/>
    <w:rsid w:val="54D26583"/>
    <w:rsid w:val="55363E67"/>
    <w:rsid w:val="556E6DF7"/>
    <w:rsid w:val="55965CE3"/>
    <w:rsid w:val="559D47CE"/>
    <w:rsid w:val="55BE1959"/>
    <w:rsid w:val="56232437"/>
    <w:rsid w:val="56541A75"/>
    <w:rsid w:val="56625829"/>
    <w:rsid w:val="567C4958"/>
    <w:rsid w:val="568832FC"/>
    <w:rsid w:val="568C4181"/>
    <w:rsid w:val="56E83D9B"/>
    <w:rsid w:val="570725A9"/>
    <w:rsid w:val="5714693E"/>
    <w:rsid w:val="571D0C9C"/>
    <w:rsid w:val="573A16CE"/>
    <w:rsid w:val="579C7F80"/>
    <w:rsid w:val="579F203F"/>
    <w:rsid w:val="57B30D7C"/>
    <w:rsid w:val="58166B03"/>
    <w:rsid w:val="583E3C94"/>
    <w:rsid w:val="58721734"/>
    <w:rsid w:val="58900246"/>
    <w:rsid w:val="58977358"/>
    <w:rsid w:val="58B4208E"/>
    <w:rsid w:val="58C44394"/>
    <w:rsid w:val="58D53944"/>
    <w:rsid w:val="58D65478"/>
    <w:rsid w:val="58F52487"/>
    <w:rsid w:val="590422E6"/>
    <w:rsid w:val="592257E5"/>
    <w:rsid w:val="59635E70"/>
    <w:rsid w:val="59655E33"/>
    <w:rsid w:val="59AF294E"/>
    <w:rsid w:val="59CF5BD9"/>
    <w:rsid w:val="59E20C3C"/>
    <w:rsid w:val="5A1D5B0A"/>
    <w:rsid w:val="5A3B4B4E"/>
    <w:rsid w:val="5A4804CA"/>
    <w:rsid w:val="5A594C85"/>
    <w:rsid w:val="5A8842AA"/>
    <w:rsid w:val="5AC71F19"/>
    <w:rsid w:val="5AEB1E3C"/>
    <w:rsid w:val="5B2507CA"/>
    <w:rsid w:val="5B2A474A"/>
    <w:rsid w:val="5B503CBD"/>
    <w:rsid w:val="5B830730"/>
    <w:rsid w:val="5BBB2DD6"/>
    <w:rsid w:val="5BE263B6"/>
    <w:rsid w:val="5C4A7099"/>
    <w:rsid w:val="5C5477DD"/>
    <w:rsid w:val="5C8E5C5A"/>
    <w:rsid w:val="5C965E61"/>
    <w:rsid w:val="5CF0089C"/>
    <w:rsid w:val="5CF5796F"/>
    <w:rsid w:val="5D242A11"/>
    <w:rsid w:val="5D9217C2"/>
    <w:rsid w:val="5DAD06BF"/>
    <w:rsid w:val="5DE23CB3"/>
    <w:rsid w:val="5DE97EEC"/>
    <w:rsid w:val="5DFA5EB0"/>
    <w:rsid w:val="5E000E4D"/>
    <w:rsid w:val="5E0A45F7"/>
    <w:rsid w:val="5E0B583E"/>
    <w:rsid w:val="5E201A7B"/>
    <w:rsid w:val="5EA45884"/>
    <w:rsid w:val="5EBD0484"/>
    <w:rsid w:val="5F1A63EB"/>
    <w:rsid w:val="5F1D2E7B"/>
    <w:rsid w:val="5F2C5C7C"/>
    <w:rsid w:val="5F36141C"/>
    <w:rsid w:val="5FC5273F"/>
    <w:rsid w:val="604F6C39"/>
    <w:rsid w:val="606D13C6"/>
    <w:rsid w:val="606F1089"/>
    <w:rsid w:val="60806DF2"/>
    <w:rsid w:val="60B47291"/>
    <w:rsid w:val="61072DA5"/>
    <w:rsid w:val="611C0817"/>
    <w:rsid w:val="61224A52"/>
    <w:rsid w:val="61520CCB"/>
    <w:rsid w:val="616D55C9"/>
    <w:rsid w:val="61851A29"/>
    <w:rsid w:val="622D1522"/>
    <w:rsid w:val="622E0574"/>
    <w:rsid w:val="62683B6B"/>
    <w:rsid w:val="6275761C"/>
    <w:rsid w:val="62816E52"/>
    <w:rsid w:val="62AC5944"/>
    <w:rsid w:val="62B9483E"/>
    <w:rsid w:val="632F3F8A"/>
    <w:rsid w:val="636F2E72"/>
    <w:rsid w:val="637279B4"/>
    <w:rsid w:val="63817D2B"/>
    <w:rsid w:val="63BD1FA9"/>
    <w:rsid w:val="63D175D1"/>
    <w:rsid w:val="63D27965"/>
    <w:rsid w:val="63F4667E"/>
    <w:rsid w:val="64095516"/>
    <w:rsid w:val="641A2468"/>
    <w:rsid w:val="642F3009"/>
    <w:rsid w:val="64372F20"/>
    <w:rsid w:val="64DC72D7"/>
    <w:rsid w:val="64EA5182"/>
    <w:rsid w:val="653619A6"/>
    <w:rsid w:val="65610A02"/>
    <w:rsid w:val="65A11EA3"/>
    <w:rsid w:val="65AB4911"/>
    <w:rsid w:val="65AC3D66"/>
    <w:rsid w:val="65BB5334"/>
    <w:rsid w:val="661C5E23"/>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AB6231"/>
    <w:rsid w:val="69C8706D"/>
    <w:rsid w:val="6A0E3FB4"/>
    <w:rsid w:val="6A292754"/>
    <w:rsid w:val="6A5E3B28"/>
    <w:rsid w:val="6A6B1EBE"/>
    <w:rsid w:val="6A7F45BF"/>
    <w:rsid w:val="6A86285B"/>
    <w:rsid w:val="6A8F43F7"/>
    <w:rsid w:val="6AD625F3"/>
    <w:rsid w:val="6B054AC4"/>
    <w:rsid w:val="6B7218BE"/>
    <w:rsid w:val="6B750BA9"/>
    <w:rsid w:val="6BB93285"/>
    <w:rsid w:val="6C0C698C"/>
    <w:rsid w:val="6C222401"/>
    <w:rsid w:val="6C521745"/>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DB5DF3"/>
    <w:rsid w:val="700D6539"/>
    <w:rsid w:val="704203E3"/>
    <w:rsid w:val="7058046B"/>
    <w:rsid w:val="707F2079"/>
    <w:rsid w:val="70922734"/>
    <w:rsid w:val="70CE6DC7"/>
    <w:rsid w:val="710B3646"/>
    <w:rsid w:val="711759F2"/>
    <w:rsid w:val="713C4ED8"/>
    <w:rsid w:val="71407642"/>
    <w:rsid w:val="71641210"/>
    <w:rsid w:val="717C3606"/>
    <w:rsid w:val="71B041AF"/>
    <w:rsid w:val="71D95B7C"/>
    <w:rsid w:val="71EA6A50"/>
    <w:rsid w:val="71FE31A8"/>
    <w:rsid w:val="720C30AE"/>
    <w:rsid w:val="721F6113"/>
    <w:rsid w:val="722A79C0"/>
    <w:rsid w:val="7233782C"/>
    <w:rsid w:val="73177841"/>
    <w:rsid w:val="733774FE"/>
    <w:rsid w:val="73617E1B"/>
    <w:rsid w:val="736D7653"/>
    <w:rsid w:val="738035CB"/>
    <w:rsid w:val="73852C46"/>
    <w:rsid w:val="7396335C"/>
    <w:rsid w:val="73C44DF0"/>
    <w:rsid w:val="73F46595"/>
    <w:rsid w:val="73F97190"/>
    <w:rsid w:val="74283FA2"/>
    <w:rsid w:val="742C135B"/>
    <w:rsid w:val="74463733"/>
    <w:rsid w:val="748A2F40"/>
    <w:rsid w:val="74F85778"/>
    <w:rsid w:val="75272439"/>
    <w:rsid w:val="75897CC2"/>
    <w:rsid w:val="758F1E9B"/>
    <w:rsid w:val="75CE266B"/>
    <w:rsid w:val="76120141"/>
    <w:rsid w:val="768216BE"/>
    <w:rsid w:val="76C23B43"/>
    <w:rsid w:val="76DD4F9D"/>
    <w:rsid w:val="76FD6F97"/>
    <w:rsid w:val="770218E8"/>
    <w:rsid w:val="77933FB1"/>
    <w:rsid w:val="779469CE"/>
    <w:rsid w:val="77C875A5"/>
    <w:rsid w:val="78680440"/>
    <w:rsid w:val="78A27DF6"/>
    <w:rsid w:val="79285B3A"/>
    <w:rsid w:val="79625CA9"/>
    <w:rsid w:val="79A91196"/>
    <w:rsid w:val="7A0B32D3"/>
    <w:rsid w:val="7A1C56C1"/>
    <w:rsid w:val="7AC13CD3"/>
    <w:rsid w:val="7AE10264"/>
    <w:rsid w:val="7AE4248E"/>
    <w:rsid w:val="7B4A207F"/>
    <w:rsid w:val="7B936F45"/>
    <w:rsid w:val="7BA47419"/>
    <w:rsid w:val="7BB10D45"/>
    <w:rsid w:val="7BB44151"/>
    <w:rsid w:val="7C653096"/>
    <w:rsid w:val="7C656A39"/>
    <w:rsid w:val="7CB93996"/>
    <w:rsid w:val="7CBE0F99"/>
    <w:rsid w:val="7D4E45F1"/>
    <w:rsid w:val="7DAE4304"/>
    <w:rsid w:val="7DDF685C"/>
    <w:rsid w:val="7DFB6D82"/>
    <w:rsid w:val="7DFD787D"/>
    <w:rsid w:val="7E14458D"/>
    <w:rsid w:val="7E1D71D1"/>
    <w:rsid w:val="7E246254"/>
    <w:rsid w:val="7E6D090F"/>
    <w:rsid w:val="7ECC66B2"/>
    <w:rsid w:val="7ED212B5"/>
    <w:rsid w:val="7EDB2F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1.xml"/><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ysClr val="windowText" lastClr="000000">
                    <a:lumMod val="65000"/>
                    <a:lumOff val="35000"/>
                  </a:sysClr>
                </a:solidFill>
                <a:latin typeface="+mn-lt"/>
                <a:ea typeface="+mn-ea"/>
                <a:cs typeface="+mn-cs"/>
              </a:defRPr>
            </a:pPr>
            <a:r>
              <a:rPr altLang="en-US"/>
              <a:t>图</a:t>
            </a:r>
            <a:r>
              <a:rPr lang="en-US" altLang="zh-CN"/>
              <a:t>1</a:t>
            </a:r>
            <a:r>
              <a:rPr altLang="en-US"/>
              <a:t>：</a:t>
            </a:r>
            <a:r>
              <a:rPr lang="en-US" altLang="zh-CN"/>
              <a:t>2022-2023</a:t>
            </a:r>
            <a:r>
              <a:rPr altLang="en-US"/>
              <a:t>年收支总计对比情况</a:t>
            </a:r>
            <a:endParaRPr altLang="en-US"/>
          </a:p>
        </c:rich>
      </c:tx>
      <c:layout>
        <c:manualLayout>
          <c:xMode val="edge"/>
          <c:yMode val="edge"/>
          <c:x val="0.176881024313048"/>
          <c:y val="0.0314536059312514"/>
        </c:manualLayout>
      </c:layout>
      <c:overlay val="0"/>
      <c:spPr>
        <a:noFill/>
        <a:ln>
          <a:noFill/>
        </a:ln>
        <a:effectLst/>
      </c:spPr>
    </c:title>
    <c:autoTitleDeleted val="0"/>
    <c:plotArea>
      <c:layout/>
      <c:barChart>
        <c:barDir val="col"/>
        <c:grouping val="clustered"/>
        <c:varyColors val="0"/>
        <c:ser>
          <c:idx val="0"/>
          <c:order val="0"/>
          <c:tx>
            <c:strRef>
              <c:extLst>
                <c:ext xmlns:c15="http://schemas.microsoft.com/office/drawing/2012/chart" uri="{02D57815-91ED-43cb-92C2-25804820EDAC}">
                  <c15:fullRef>
                    <c15:sqref>Sheet1!$B$1</c15:sqref>
                  </c15:fullRef>
                  <c15:levelRef>
                    <c15:sqref>Sheet1!$B$1</c15:sqref>
                  </c15:levelRef>
                </c:ext>
              </c:extLst>
              <c:f>Sheet1!$B$1</c:f>
              <c:strCache>
                <c:ptCount val="1"/>
                <c:pt idx="0">
                  <c:v>收支总计</c:v>
                </c:pt>
              </c:strCache>
            </c:strRef>
          </c:tx>
          <c:spPr>
            <a:solidFill>
              <a:srgbClr val="5B9BD5"/>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lumMod val="75000"/>
                        <a:lumOff val="25000"/>
                      </a:sys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1347.66</c:v>
                </c:pt>
                <c:pt idx="1">
                  <c:v>1175.69</c:v>
                </c:pt>
              </c:numCache>
            </c:numRef>
          </c:val>
        </c:ser>
        <c:dLbls>
          <c:showLegendKey val="0"/>
          <c:showVal val="1"/>
          <c:showCatName val="0"/>
          <c:showSerName val="0"/>
          <c:showPercent val="0"/>
          <c:showBubbleSize val="0"/>
        </c:dLbls>
        <c:gapWidth val="219"/>
        <c:overlap val="-27"/>
        <c:axId val="325397459"/>
        <c:axId val="252119991"/>
      </c:barChart>
      <c:catAx>
        <c:axId val="325397459"/>
        <c:scaling>
          <c:orientation val="minMax"/>
        </c:scaling>
        <c:delete val="0"/>
        <c:axPos val="b"/>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252119991"/>
        <c:crosses val="autoZero"/>
        <c:auto val="1"/>
        <c:lblAlgn val="ctr"/>
        <c:lblOffset val="100"/>
        <c:noMultiLvlLbl val="0"/>
      </c:catAx>
      <c:valAx>
        <c:axId val="252119991"/>
        <c:scaling>
          <c:orientation val="minMax"/>
        </c:scaling>
        <c:delete val="0"/>
        <c:axPos val="l"/>
        <c:majorGridlines>
          <c:spPr>
            <a:ln w="9525" cap="flat" cmpd="sng" algn="ctr">
              <a:solidFill>
                <a:sysClr val="windowText" lastClr="000000">
                  <a:lumMod val="15000"/>
                  <a:lumOff val="850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32539745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29</Pages>
  <Words>9795</Words>
  <Characters>11430</Characters>
  <Lines>86</Lines>
  <Paragraphs>24</Paragraphs>
  <TotalTime>0</TotalTime>
  <ScaleCrop>false</ScaleCrop>
  <LinksUpToDate>false</LinksUpToDate>
  <CharactersWithSpaces>12060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嗷嗷</cp:lastModifiedBy>
  <cp:lastPrinted>2023-08-04T01:00:00Z</cp:lastPrinted>
  <dcterms:modified xsi:type="dcterms:W3CDTF">2024-11-26T09:03:51Z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